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128D90">
      <w:pPr>
        <w:wordWrap w:val="0"/>
        <w:spacing w:before="312" w:beforeLines="100" w:after="312" w:afterLines="100"/>
        <w:jc w:val="right"/>
        <w:rPr>
          <w:rFonts w:hint="default" w:ascii="微软雅黑" w:hAnsi="微软雅黑" w:eastAsia="微软雅黑" w:cs="微软雅黑"/>
          <w:color w:val="000000"/>
          <w:lang w:val="en-US" w:eastAsia="zh-CN"/>
        </w:rPr>
      </w:pPr>
      <w:r>
        <w:rPr>
          <w:rFonts w:hint="eastAsia" w:ascii="方正小标宋简体" w:hAnsi="Arial" w:eastAsia="方正小标宋简体" w:cs="Arial"/>
          <w:color w:val="000000"/>
          <w:spacing w:val="110"/>
          <w:sz w:val="44"/>
          <w:szCs w:val="44"/>
        </w:rPr>
        <w:drawing>
          <wp:anchor distT="0" distB="0" distL="114300" distR="114300" simplePos="0" relativeHeight="251660288" behindDoc="0" locked="0" layoutInCell="1" allowOverlap="1">
            <wp:simplePos x="0" y="0"/>
            <wp:positionH relativeFrom="column">
              <wp:posOffset>-5080</wp:posOffset>
            </wp:positionH>
            <wp:positionV relativeFrom="paragraph">
              <wp:posOffset>-143510</wp:posOffset>
            </wp:positionV>
            <wp:extent cx="1435100" cy="796290"/>
            <wp:effectExtent l="0" t="0" r="0" b="0"/>
            <wp:wrapNone/>
            <wp:docPr id="1" name="图片 2" descr="集团品牌为子品牌标志以文字背书组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集团品牌为子品牌标志以文字背书组合"/>
                    <pic:cNvPicPr>
                      <a:picLocks noChangeAspect="1"/>
                    </pic:cNvPicPr>
                  </pic:nvPicPr>
                  <pic:blipFill>
                    <a:blip r:embed="rId6"/>
                    <a:srcRect l="23238" t="25038" r="17274" b="28310"/>
                    <a:stretch>
                      <a:fillRect/>
                    </a:stretch>
                  </pic:blipFill>
                  <pic:spPr>
                    <a:xfrm>
                      <a:off x="0" y="0"/>
                      <a:ext cx="1435100" cy="796290"/>
                    </a:xfrm>
                    <a:prstGeom prst="rect">
                      <a:avLst/>
                    </a:prstGeom>
                    <a:noFill/>
                    <a:ln>
                      <a:noFill/>
                    </a:ln>
                  </pic:spPr>
                </pic:pic>
              </a:graphicData>
            </a:graphic>
          </wp:anchor>
        </w:drawing>
      </w:r>
      <w:r>
        <w:rPr>
          <w:rFonts w:hint="eastAsia" w:ascii="微软雅黑" w:hAnsi="微软雅黑" w:eastAsia="微软雅黑" w:cs="微软雅黑"/>
          <w:color w:val="000000"/>
          <w:lang w:val="en-US"/>
        </w:rPr>
        <mc:AlternateContent>
          <mc:Choice Requires="wps">
            <w:drawing>
              <wp:anchor distT="0" distB="0" distL="114300" distR="114300" simplePos="0" relativeHeight="251659264" behindDoc="0" locked="0" layoutInCell="1" allowOverlap="1">
                <wp:simplePos x="0" y="0"/>
                <wp:positionH relativeFrom="margin">
                  <wp:posOffset>-19050</wp:posOffset>
                </wp:positionH>
                <wp:positionV relativeFrom="paragraph">
                  <wp:posOffset>655955</wp:posOffset>
                </wp:positionV>
                <wp:extent cx="6139180" cy="6350"/>
                <wp:effectExtent l="0" t="28575" r="2540" b="41275"/>
                <wp:wrapNone/>
                <wp:docPr id="7" name="直接连接符 7"/>
                <wp:cNvGraphicFramePr/>
                <a:graphic xmlns:a="http://schemas.openxmlformats.org/drawingml/2006/main">
                  <a:graphicData uri="http://schemas.microsoft.com/office/word/2010/wordprocessingShape">
                    <wps:wsp>
                      <wps:cNvCnPr>
                        <a:cxnSpLocks noChangeShapeType="1"/>
                      </wps:cNvCnPr>
                      <wps:spPr bwMode="auto">
                        <a:xfrm>
                          <a:off x="0" y="0"/>
                          <a:ext cx="6139180" cy="6350"/>
                        </a:xfrm>
                        <a:prstGeom prst="line">
                          <a:avLst/>
                        </a:prstGeom>
                        <a:noFill/>
                        <a:ln w="57150" cmpd="thickThin">
                          <a:solidFill>
                            <a:srgbClr val="000000"/>
                          </a:solidFill>
                          <a:round/>
                        </a:ln>
                      </wps:spPr>
                      <wps:bodyPr/>
                    </wps:wsp>
                  </a:graphicData>
                </a:graphic>
              </wp:anchor>
            </w:drawing>
          </mc:Choice>
          <mc:Fallback>
            <w:pict>
              <v:line id="_x0000_s1026" o:spid="_x0000_s1026" o:spt="20" style="position:absolute;left:0pt;margin-left:-1.5pt;margin-top:51.65pt;height:0.5pt;width:483.4pt;mso-position-horizontal-relative:margin;z-index:251659264;mso-width-relative:page;mso-height-relative:page;" filled="f" stroked="t" coordsize="21600,21600" o:gfxdata="UEsDBAoAAAAAAIdO4kAAAAAAAAAAAAAAAAAEAAAAZHJzL1BLAwQUAAAACACHTuJA1QFBKtUAAAAK&#10;AQAADwAAAGRycy9kb3ducmV2LnhtbE2PwU7DMBBE70j8g7VI3Fq7uFRpiFMhKj6AwIGjG2+TCHsd&#10;xW4b+Hq2Jzju7GhmXrWbgxdnnNIQycBqqUAgtdEN1Bn4eH9dFCBStuSsj4QGvjHBrr69qWzp4oXe&#10;8NzkTnAIpdIa6HMeSylT22OwaRlHJP4d4xRs5nPqpJvshcODlw9KbWSwA3FDb0d86bH9ak7BQBOV&#10;38/P2jc/xfpzH9tinB6TMfd3K/UEIuOc/8xwnc/ToeZNh3gil4Q3sNCMkllXWoNgw3ajmeVwVdYa&#10;ZF3J/wj1L1BLAwQUAAAACACHTuJA4a/3Y/QBAAC/AwAADgAAAGRycy9lMm9Eb2MueG1srVPNbhMx&#10;EL4j8Q6W72SzrZqUVTY9JCqXApUaHsDxerNWbY/lcbLJS/ACSNzgxJE7b0N5DMbOD6VcemAPlu2Z&#10;+Wa+7/NOrrbWsI0KqMHVvBwMOVNOQqPdquYfFtevLjnDKFwjDDhV851CfjV9+WLS+0qdQQemUYER&#10;iMOq9zXvYvRVUaDslBU4AK8cBVsIVkQ6hlXRBNETujXF2XA4KnoIjQ8gFSLdzvdBfkAMzwGEttVS&#10;zUGurXJxjxqUEZEoYac98mmetm2VjO/bFlVkpubENOaVmtB+mdZiOhHVKgjfaXkYQTxnhCecrNCO&#10;mp6g5iIKtg76HyirZQCENg4k2GJPJCtCLMrhE23uOuFV5kJSoz+Jjv8PVr7b3Aamm5qPOXPCkuEP&#10;n77//Pjl14/PtD58+8rGSaTeY0W5M3cbEk25dXf+BuQ9MgezTriVysMudp4QylRR/FWSDuip1bJ/&#10;Cw3liHWErNi2DTZBkhZsm43ZnYxR28gkXY7K89flJXkmKTY6v8i+FaI61vqA8Y0Cy9Km5ka7JJuo&#10;xOYGY5pFVMeUdO3gWhuTrTeO9TW/GJeEyaT1JESkp3C/6A6GIhjdpPRUiGG1nJnANiI9p/xlqhR5&#10;nBZg7Zp9W+MOSiTyexmX0Oxuw1Eh8jXPd3iD6eE8PufqP//d9D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DVAUEq1QAAAAoBAAAPAAAAAAAAAAEAIAAAACIAAABkcnMvZG93bnJldi54bWxQSwECFAAU&#10;AAAACACHTuJA4a/3Y/QBAAC/AwAADgAAAAAAAAABACAAAAAkAQAAZHJzL2Uyb0RvYy54bWxQSwUG&#10;AAAAAAYABgBZAQAAigUAAAAA&#10;">
                <v:fill on="f" focussize="0,0"/>
                <v:stroke weight="4.5pt" color="#000000" linestyle="thickThin" joinstyle="round"/>
                <v:imagedata o:title=""/>
                <o:lock v:ext="edit" aspectratio="f"/>
              </v:line>
            </w:pict>
          </mc:Fallback>
        </mc:AlternateContent>
      </w:r>
      <w:r>
        <w:rPr>
          <w:rFonts w:hint="eastAsia" w:ascii="微软雅黑" w:hAnsi="微软雅黑" w:eastAsia="微软雅黑" w:cs="微软雅黑"/>
          <w:color w:val="000000"/>
          <w:lang w:val="en-US" w:eastAsia="zh-CN"/>
        </w:rPr>
        <w:t xml:space="preserve">产品试验检测中心  </w:t>
      </w:r>
    </w:p>
    <w:p w14:paraId="4D73D3E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方正小标宋简体" w:eastAsia="方正小标宋简体"/>
          <w:bCs/>
          <w:sz w:val="44"/>
          <w:szCs w:val="22"/>
          <w:lang w:val="en-US" w:eastAsia="zh-CN"/>
        </w:rPr>
      </w:pPr>
      <w:r>
        <w:rPr>
          <w:rFonts w:hint="eastAsia" w:ascii="方正小标宋简体" w:eastAsia="方正小标宋简体"/>
          <w:bCs/>
          <w:sz w:val="44"/>
          <w:szCs w:val="22"/>
          <w:lang w:val="en-US" w:eastAsia="zh-CN"/>
        </w:rPr>
        <w:t>中国重汽集团济南动力有限公司</w:t>
      </w:r>
    </w:p>
    <w:p w14:paraId="4762D9B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方正小标宋简体" w:eastAsia="方正小标宋简体"/>
          <w:bCs/>
          <w:sz w:val="44"/>
          <w:szCs w:val="22"/>
        </w:rPr>
      </w:pPr>
      <w:r>
        <w:rPr>
          <w:rFonts w:hint="eastAsia" w:ascii="方正小标宋简体" w:eastAsia="方正小标宋简体"/>
          <w:bCs/>
          <w:sz w:val="44"/>
          <w:szCs w:val="22"/>
          <w:lang w:val="en-US" w:eastAsia="zh-CN"/>
        </w:rPr>
        <w:t>莱芜园区标识牌采购</w:t>
      </w:r>
      <w:r>
        <w:rPr>
          <w:rFonts w:hint="eastAsia" w:ascii="方正小标宋简体" w:eastAsia="方正小标宋简体"/>
          <w:bCs/>
          <w:sz w:val="44"/>
          <w:szCs w:val="22"/>
        </w:rPr>
        <w:t>项目招标书</w:t>
      </w:r>
    </w:p>
    <w:p w14:paraId="5A67A221">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Times New Roman" w:cs="仿宋_GB2312"/>
          <w:sz w:val="28"/>
          <w:szCs w:val="28"/>
          <w:lang w:bidi="ar"/>
        </w:rPr>
      </w:pPr>
      <w:r>
        <w:rPr>
          <w:rFonts w:hint="eastAsia" w:ascii="仿宋_GB2312" w:hAnsi="Times New Roman" w:cs="仿宋_GB2312"/>
          <w:sz w:val="28"/>
          <w:szCs w:val="28"/>
          <w:lang w:val="en-US" w:eastAsia="zh-CN" w:bidi="ar"/>
        </w:rPr>
        <w:t>1.</w:t>
      </w:r>
      <w:r>
        <w:rPr>
          <w:rFonts w:hint="eastAsia" w:ascii="仿宋_GB2312" w:hAnsi="Times New Roman" w:cs="仿宋_GB2312"/>
          <w:sz w:val="28"/>
          <w:szCs w:val="28"/>
          <w:lang w:bidi="ar"/>
        </w:rPr>
        <w:t>采购内容：拟</w:t>
      </w:r>
      <w:r>
        <w:rPr>
          <w:rFonts w:hint="eastAsia" w:ascii="仿宋_GB2312" w:hAnsi="Times New Roman" w:cs="仿宋_GB2312"/>
          <w:sz w:val="28"/>
          <w:szCs w:val="28"/>
          <w:lang w:val="en-US" w:eastAsia="zh-CN" w:bidi="ar"/>
        </w:rPr>
        <w:t>采购</w:t>
      </w:r>
      <w:r>
        <w:rPr>
          <w:rFonts w:hint="eastAsia" w:ascii="仿宋_GB2312" w:cs="仿宋_GB2312"/>
          <w:sz w:val="28"/>
          <w:szCs w:val="28"/>
          <w:lang w:val="en-US" w:eastAsia="zh-CN" w:bidi="ar"/>
        </w:rPr>
        <w:t>一批标识牌</w:t>
      </w:r>
      <w:r>
        <w:rPr>
          <w:rFonts w:hint="eastAsia" w:ascii="仿宋_GB2312" w:hAnsi="Times New Roman" w:cs="仿宋_GB2312"/>
          <w:sz w:val="28"/>
          <w:szCs w:val="28"/>
          <w:lang w:bidi="ar"/>
        </w:rPr>
        <w:t>，明细见附件。</w:t>
      </w:r>
    </w:p>
    <w:p w14:paraId="5C678F1A">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Times New Roman" w:cs="仿宋_GB2312"/>
          <w:sz w:val="28"/>
          <w:szCs w:val="28"/>
          <w:lang w:bidi="ar"/>
        </w:rPr>
      </w:pPr>
      <w:r>
        <w:rPr>
          <w:rFonts w:hint="eastAsia" w:ascii="仿宋_GB2312" w:hAnsi="Times New Roman" w:cs="仿宋_GB2312"/>
          <w:sz w:val="28"/>
          <w:szCs w:val="28"/>
          <w:lang w:val="en-US" w:eastAsia="zh-CN" w:bidi="ar"/>
        </w:rPr>
        <w:t>2.</w:t>
      </w:r>
      <w:r>
        <w:rPr>
          <w:rFonts w:hint="eastAsia" w:ascii="仿宋_GB2312" w:hAnsi="Times New Roman" w:cs="仿宋_GB2312"/>
          <w:sz w:val="28"/>
          <w:szCs w:val="28"/>
          <w:lang w:bidi="ar"/>
        </w:rPr>
        <w:t>采购形式：</w:t>
      </w:r>
      <w:r>
        <w:rPr>
          <w:rFonts w:hint="eastAsia" w:ascii="仿宋_GB2312" w:cs="仿宋_GB2312"/>
          <w:sz w:val="28"/>
          <w:szCs w:val="28"/>
          <w:lang w:val="en-US" w:eastAsia="zh-CN" w:bidi="ar"/>
        </w:rPr>
        <w:t>公开</w:t>
      </w:r>
      <w:r>
        <w:rPr>
          <w:rFonts w:hint="eastAsia" w:ascii="仿宋_GB2312" w:hAnsi="Times New Roman" w:cs="仿宋_GB2312"/>
          <w:sz w:val="28"/>
          <w:szCs w:val="28"/>
          <w:lang w:val="en-US" w:eastAsia="zh-CN" w:bidi="ar"/>
        </w:rPr>
        <w:t>招标</w:t>
      </w:r>
      <w:r>
        <w:rPr>
          <w:rFonts w:hint="eastAsia" w:ascii="仿宋_GB2312" w:hAnsi="Times New Roman" w:cs="仿宋_GB2312"/>
          <w:sz w:val="28"/>
          <w:szCs w:val="28"/>
          <w:lang w:bidi="ar"/>
        </w:rPr>
        <w:t>（项目编号：ZBGL2026090109）</w:t>
      </w:r>
    </w:p>
    <w:p w14:paraId="19FF53E8">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Times New Roman" w:cs="仿宋_GB2312"/>
          <w:sz w:val="28"/>
          <w:szCs w:val="28"/>
          <w:highlight w:val="none"/>
          <w:lang w:bidi="ar"/>
        </w:rPr>
      </w:pPr>
      <w:r>
        <w:rPr>
          <w:rFonts w:hint="eastAsia" w:ascii="仿宋_GB2312" w:hAnsi="Times New Roman" w:cs="仿宋_GB2312"/>
          <w:sz w:val="28"/>
          <w:szCs w:val="28"/>
          <w:lang w:bidi="ar"/>
        </w:rPr>
        <w:t>3.报名资格条件：</w:t>
      </w:r>
    </w:p>
    <w:p w14:paraId="48CCE3C1">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Times New Roman" w:cs="仿宋_GB2312"/>
          <w:sz w:val="28"/>
          <w:szCs w:val="28"/>
          <w:highlight w:val="none"/>
          <w:lang w:bidi="ar"/>
        </w:rPr>
      </w:pPr>
      <w:r>
        <w:rPr>
          <w:rFonts w:hint="eastAsia" w:ascii="仿宋_GB2312" w:hAnsi="Times New Roman" w:cs="仿宋_GB2312"/>
          <w:sz w:val="28"/>
          <w:szCs w:val="28"/>
          <w:highlight w:val="none"/>
          <w:lang w:bidi="ar"/>
        </w:rPr>
        <w:t>（1）拟投标人</w:t>
      </w:r>
      <w:r>
        <w:rPr>
          <w:rFonts w:hint="eastAsia" w:ascii="仿宋_GB2312" w:cs="仿宋_GB2312"/>
          <w:sz w:val="28"/>
          <w:szCs w:val="28"/>
          <w:highlight w:val="none"/>
          <w:lang w:val="en-US" w:eastAsia="zh-CN" w:bidi="ar"/>
        </w:rPr>
        <w:t>营业执照具有相应的营业范围</w:t>
      </w:r>
      <w:r>
        <w:rPr>
          <w:rFonts w:hint="eastAsia" w:ascii="仿宋_GB2312" w:hAnsi="Times New Roman" w:cs="仿宋_GB2312"/>
          <w:sz w:val="28"/>
          <w:szCs w:val="28"/>
          <w:highlight w:val="none"/>
          <w:lang w:bidi="ar"/>
        </w:rPr>
        <w:t>。</w:t>
      </w:r>
    </w:p>
    <w:p w14:paraId="5AE8F3F0">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Times New Roman" w:cs="仿宋_GB2312"/>
          <w:sz w:val="28"/>
          <w:szCs w:val="28"/>
          <w:lang w:bidi="ar"/>
        </w:rPr>
      </w:pPr>
      <w:r>
        <w:rPr>
          <w:rFonts w:hint="eastAsia" w:ascii="仿宋_GB2312" w:hAnsi="Times New Roman" w:cs="仿宋_GB2312"/>
          <w:sz w:val="28"/>
          <w:szCs w:val="28"/>
          <w:highlight w:val="none"/>
          <w:lang w:bidi="ar"/>
        </w:rPr>
        <w:t>（2）拟投标人对授权代表出具的可参加中国境内投标并签</w:t>
      </w:r>
      <w:r>
        <w:rPr>
          <w:rFonts w:hint="eastAsia" w:ascii="仿宋_GB2312" w:hAnsi="Times New Roman" w:cs="仿宋_GB2312"/>
          <w:sz w:val="28"/>
          <w:szCs w:val="28"/>
          <w:lang w:bidi="ar"/>
        </w:rPr>
        <w:t>署合同的授权书。</w:t>
      </w:r>
    </w:p>
    <w:p w14:paraId="1C61BA83">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Times New Roman" w:cs="仿宋_GB2312"/>
          <w:sz w:val="28"/>
          <w:szCs w:val="28"/>
          <w:lang w:bidi="ar"/>
        </w:rPr>
      </w:pPr>
      <w:r>
        <w:rPr>
          <w:rFonts w:hint="eastAsia" w:ascii="仿宋_GB2312" w:hAnsi="Times New Roman" w:cs="仿宋_GB2312"/>
          <w:sz w:val="28"/>
          <w:szCs w:val="28"/>
          <w:lang w:bidi="ar"/>
        </w:rPr>
        <w:t>（3）请提供护照原件或者身份证原件，并准备复印件以备现场核验。</w:t>
      </w:r>
    </w:p>
    <w:p w14:paraId="56B07EEB">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Times New Roman" w:cs="仿宋_GB2312"/>
          <w:sz w:val="28"/>
          <w:szCs w:val="28"/>
          <w:lang w:bidi="ar"/>
        </w:rPr>
      </w:pPr>
      <w:r>
        <w:rPr>
          <w:rFonts w:hint="eastAsia" w:ascii="仿宋_GB2312" w:hAnsi="Times New Roman" w:cs="仿宋_GB2312"/>
          <w:sz w:val="28"/>
          <w:szCs w:val="28"/>
          <w:lang w:bidi="ar"/>
        </w:rPr>
        <w:t>（4）没有被我公司列入黑名单。</w:t>
      </w:r>
    </w:p>
    <w:p w14:paraId="51A953D8">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Times New Roman" w:cs="仿宋_GB2312"/>
          <w:sz w:val="28"/>
          <w:szCs w:val="28"/>
          <w:lang w:bidi="ar"/>
        </w:rPr>
      </w:pPr>
      <w:r>
        <w:rPr>
          <w:rFonts w:hint="eastAsia" w:ascii="仿宋_GB2312" w:hAnsi="Times New Roman" w:cs="仿宋_GB2312"/>
          <w:sz w:val="28"/>
          <w:szCs w:val="28"/>
          <w:lang w:bidi="ar"/>
        </w:rPr>
        <w:t>（5）拟投标人必须是最终投标单位、签订合同单位，不得以任何形式分包或转包给其他单位。</w:t>
      </w:r>
    </w:p>
    <w:p w14:paraId="01046419">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Times New Roman" w:cs="仿宋_GB2312"/>
          <w:sz w:val="28"/>
          <w:szCs w:val="28"/>
          <w:lang w:val="en-US" w:eastAsia="zh-CN" w:bidi="ar"/>
        </w:rPr>
      </w:pPr>
      <w:r>
        <w:rPr>
          <w:rFonts w:hint="eastAsia" w:ascii="仿宋_GB2312" w:hAnsi="Times New Roman" w:cs="仿宋_GB2312"/>
          <w:sz w:val="28"/>
          <w:szCs w:val="28"/>
          <w:lang w:val="en-US" w:eastAsia="zh-CN" w:bidi="ar"/>
        </w:rPr>
        <w:t>4.</w:t>
      </w:r>
      <w:r>
        <w:rPr>
          <w:rFonts w:hint="eastAsia" w:ascii="仿宋_GB2312" w:hAnsi="Times New Roman" w:cs="仿宋_GB2312"/>
          <w:sz w:val="28"/>
          <w:szCs w:val="28"/>
          <w:lang w:bidi="ar"/>
        </w:rPr>
        <w:t>报</w:t>
      </w:r>
      <w:r>
        <w:rPr>
          <w:rFonts w:hint="eastAsia" w:ascii="仿宋_GB2312" w:hAnsi="Times New Roman" w:cs="仿宋_GB2312"/>
          <w:sz w:val="28"/>
          <w:szCs w:val="28"/>
          <w:lang w:val="en-US" w:eastAsia="zh-CN" w:bidi="ar"/>
        </w:rPr>
        <w:t>名及评标</w:t>
      </w:r>
      <w:r>
        <w:rPr>
          <w:rFonts w:hint="eastAsia" w:ascii="仿宋_GB2312" w:hAnsi="Times New Roman" w:cs="仿宋_GB2312"/>
          <w:sz w:val="28"/>
          <w:szCs w:val="28"/>
          <w:lang w:bidi="ar"/>
        </w:rPr>
        <w:t>方式：</w:t>
      </w:r>
      <w:r>
        <w:rPr>
          <w:rFonts w:hint="eastAsia" w:ascii="仿宋_GB2312" w:hAnsi="Times New Roman" w:cs="仿宋_GB2312"/>
          <w:sz w:val="28"/>
          <w:szCs w:val="28"/>
          <w:lang w:val="en-US" w:eastAsia="zh-CN" w:bidi="ar"/>
        </w:rPr>
        <w:t>所有操作均在</w:t>
      </w:r>
      <w:r>
        <w:rPr>
          <w:rFonts w:hint="eastAsia" w:ascii="仿宋_GB2312" w:cs="仿宋_GB2312"/>
          <w:sz w:val="28"/>
          <w:szCs w:val="28"/>
          <w:lang w:val="en-US" w:eastAsia="zh-CN" w:bidi="ar"/>
        </w:rPr>
        <w:t>中国重汽E采通</w:t>
      </w:r>
      <w:r>
        <w:rPr>
          <w:rFonts w:hint="eastAsia" w:ascii="仿宋_GB2312" w:hAnsi="Times New Roman" w:cs="仿宋_GB2312"/>
          <w:sz w:val="28"/>
          <w:szCs w:val="28"/>
          <w:lang w:val="en-US" w:eastAsia="zh-CN" w:bidi="ar"/>
        </w:rPr>
        <w:t>系统完成。</w:t>
      </w:r>
      <w:r>
        <w:rPr>
          <w:rFonts w:hint="eastAsia" w:ascii="仿宋_GB2312" w:cs="仿宋_GB2312"/>
          <w:sz w:val="28"/>
          <w:szCs w:val="28"/>
          <w:lang w:val="en-US" w:eastAsia="zh-CN" w:bidi="ar"/>
        </w:rPr>
        <w:t>投标人</w:t>
      </w:r>
      <w:r>
        <w:rPr>
          <w:rFonts w:hint="eastAsia" w:ascii="仿宋_GB2312" w:hAnsi="Times New Roman" w:cs="仿宋_GB2312"/>
          <w:sz w:val="28"/>
          <w:szCs w:val="28"/>
          <w:lang w:val="en-US" w:eastAsia="zh-CN" w:bidi="ar"/>
        </w:rPr>
        <w:t>收到招标书后，准备营业执照、公司简介</w:t>
      </w:r>
      <w:r>
        <w:rPr>
          <w:rFonts w:hint="eastAsia" w:ascii="仿宋_GB2312" w:cs="仿宋_GB2312"/>
          <w:sz w:val="28"/>
          <w:szCs w:val="28"/>
          <w:lang w:val="en-US" w:eastAsia="zh-CN" w:bidi="ar"/>
        </w:rPr>
        <w:t>和</w:t>
      </w:r>
      <w:r>
        <w:rPr>
          <w:rFonts w:hint="eastAsia" w:ascii="仿宋_GB2312" w:hAnsi="Times New Roman" w:cs="仿宋_GB2312"/>
          <w:sz w:val="28"/>
          <w:szCs w:val="28"/>
          <w:lang w:val="en-US" w:eastAsia="zh-CN" w:bidi="ar"/>
        </w:rPr>
        <w:t>项目业绩文件，在供应商应标处进行报名，应标通过后在供应商投标处上传资质证明文件（营业执照</w:t>
      </w:r>
      <w:r>
        <w:rPr>
          <w:rFonts w:hint="eastAsia" w:ascii="仿宋_GB2312" w:cs="仿宋_GB2312"/>
          <w:sz w:val="28"/>
          <w:szCs w:val="28"/>
          <w:lang w:val="en-US" w:eastAsia="zh-CN" w:bidi="ar"/>
        </w:rPr>
        <w:t>及及投标保证金电子回单</w:t>
      </w:r>
      <w:r>
        <w:rPr>
          <w:rFonts w:hint="eastAsia" w:ascii="仿宋_GB2312" w:hAnsi="Times New Roman" w:cs="仿宋_GB2312"/>
          <w:sz w:val="28"/>
          <w:szCs w:val="28"/>
          <w:lang w:val="en-US" w:eastAsia="zh-CN" w:bidi="ar"/>
        </w:rPr>
        <w:t>）、商务标文件（盖章版报价明细单，见附件）并填写含税总价后提交。后在评标会议中,在供应商报价处进行多轮报价。</w:t>
      </w:r>
    </w:p>
    <w:p w14:paraId="4E30ED28">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cs="仿宋_GB2312"/>
          <w:sz w:val="28"/>
          <w:szCs w:val="28"/>
          <w:lang w:val="en-US" w:eastAsia="zh-CN" w:bidi="ar"/>
        </w:rPr>
      </w:pPr>
      <w:r>
        <w:rPr>
          <w:rFonts w:hint="eastAsia" w:ascii="仿宋_GB2312" w:cs="仿宋_GB2312"/>
          <w:sz w:val="28"/>
          <w:szCs w:val="28"/>
          <w:lang w:val="en-US" w:eastAsia="zh-CN" w:bidi="ar"/>
        </w:rPr>
        <w:t>5.保证金缴纳：投标人在报名参与本项目的同时，应电汇提供2000元（或其他等值货币）的投标保证金，招标人银行账户信息如下：</w:t>
      </w:r>
    </w:p>
    <w:p w14:paraId="44BD571A">
      <w:pPr>
        <w:keepNext w:val="0"/>
        <w:keepLines w:val="0"/>
        <w:pageBreakBefore w:val="0"/>
        <w:widowControl w:val="0"/>
        <w:kinsoku/>
        <w:wordWrap/>
        <w:overflowPunct/>
        <w:topLinePunct w:val="0"/>
        <w:autoSpaceDE/>
        <w:autoSpaceDN/>
        <w:bidi w:val="0"/>
        <w:adjustRightInd/>
        <w:snapToGrid/>
        <w:ind w:firstLine="562" w:firstLineChars="200"/>
        <w:textAlignment w:val="auto"/>
        <w:rPr>
          <w:rFonts w:hint="eastAsia" w:ascii="仿宋_GB2312" w:cs="仿宋_GB2312"/>
          <w:b/>
          <w:bCs/>
          <w:sz w:val="28"/>
          <w:szCs w:val="28"/>
          <w:lang w:val="en-US" w:eastAsia="zh-CN" w:bidi="ar"/>
        </w:rPr>
      </w:pPr>
      <w:r>
        <w:rPr>
          <w:rFonts w:hint="eastAsia" w:ascii="仿宋_GB2312" w:cs="仿宋_GB2312"/>
          <w:b/>
          <w:bCs/>
          <w:sz w:val="28"/>
          <w:szCs w:val="28"/>
          <w:lang w:val="en-US" w:eastAsia="zh-CN" w:bidi="ar"/>
        </w:rPr>
        <w:t>单位名称：中国重汽集团济南动力有限公司</w:t>
      </w:r>
    </w:p>
    <w:p w14:paraId="3CD89375">
      <w:pPr>
        <w:keepNext w:val="0"/>
        <w:keepLines w:val="0"/>
        <w:pageBreakBefore w:val="0"/>
        <w:widowControl w:val="0"/>
        <w:kinsoku/>
        <w:wordWrap/>
        <w:overflowPunct/>
        <w:topLinePunct w:val="0"/>
        <w:autoSpaceDE/>
        <w:autoSpaceDN/>
        <w:bidi w:val="0"/>
        <w:adjustRightInd/>
        <w:snapToGrid/>
        <w:ind w:firstLine="562" w:firstLineChars="200"/>
        <w:textAlignment w:val="auto"/>
        <w:rPr>
          <w:rFonts w:hint="eastAsia" w:ascii="仿宋_GB2312" w:cs="仿宋_GB2312"/>
          <w:b/>
          <w:bCs/>
          <w:sz w:val="28"/>
          <w:szCs w:val="28"/>
          <w:lang w:val="en-US" w:eastAsia="zh-CN" w:bidi="ar"/>
        </w:rPr>
      </w:pPr>
      <w:r>
        <w:rPr>
          <w:rFonts w:hint="eastAsia" w:ascii="仿宋_GB2312" w:cs="仿宋_GB2312"/>
          <w:b/>
          <w:bCs/>
          <w:sz w:val="28"/>
          <w:szCs w:val="28"/>
          <w:lang w:val="en-US" w:eastAsia="zh-CN" w:bidi="ar"/>
        </w:rPr>
        <w:t>开户行：兴业银行股份有限公司济南分行营业部</w:t>
      </w:r>
    </w:p>
    <w:p w14:paraId="3FD09EE4">
      <w:pPr>
        <w:keepNext w:val="0"/>
        <w:keepLines w:val="0"/>
        <w:pageBreakBefore w:val="0"/>
        <w:widowControl w:val="0"/>
        <w:kinsoku/>
        <w:wordWrap/>
        <w:overflowPunct/>
        <w:topLinePunct w:val="0"/>
        <w:autoSpaceDE/>
        <w:autoSpaceDN/>
        <w:bidi w:val="0"/>
        <w:adjustRightInd/>
        <w:snapToGrid/>
        <w:ind w:firstLine="562" w:firstLineChars="200"/>
        <w:textAlignment w:val="auto"/>
        <w:rPr>
          <w:rFonts w:hint="eastAsia" w:ascii="仿宋_GB2312" w:cs="仿宋_GB2312"/>
          <w:b/>
          <w:bCs/>
          <w:sz w:val="28"/>
          <w:szCs w:val="28"/>
          <w:lang w:val="en-US" w:eastAsia="zh-CN" w:bidi="ar"/>
        </w:rPr>
      </w:pPr>
      <w:r>
        <w:rPr>
          <w:rFonts w:hint="eastAsia" w:ascii="仿宋_GB2312" w:cs="仿宋_GB2312"/>
          <w:b/>
          <w:bCs/>
          <w:sz w:val="28"/>
          <w:szCs w:val="28"/>
          <w:lang w:val="en-US" w:eastAsia="zh-CN" w:bidi="ar"/>
        </w:rPr>
        <w:t>账号：376010100101373547</w:t>
      </w:r>
    </w:p>
    <w:p w14:paraId="6886A73C">
      <w:pPr>
        <w:keepNext w:val="0"/>
        <w:keepLines w:val="0"/>
        <w:pageBreakBefore w:val="0"/>
        <w:widowControl w:val="0"/>
        <w:kinsoku/>
        <w:wordWrap/>
        <w:overflowPunct/>
        <w:topLinePunct w:val="0"/>
        <w:autoSpaceDE/>
        <w:autoSpaceDN/>
        <w:bidi w:val="0"/>
        <w:adjustRightInd/>
        <w:snapToGrid/>
        <w:ind w:firstLine="562" w:firstLineChars="200"/>
        <w:textAlignment w:val="auto"/>
        <w:rPr>
          <w:rFonts w:hint="eastAsia" w:ascii="仿宋_GB2312" w:cs="仿宋_GB2312"/>
          <w:b/>
          <w:bCs/>
          <w:sz w:val="28"/>
          <w:szCs w:val="28"/>
          <w:lang w:val="en-US" w:eastAsia="zh-CN" w:bidi="ar"/>
        </w:rPr>
      </w:pPr>
      <w:r>
        <w:rPr>
          <w:rFonts w:hint="eastAsia" w:ascii="仿宋_GB2312" w:cs="仿宋_GB2312"/>
          <w:b/>
          <w:bCs/>
          <w:sz w:val="28"/>
          <w:szCs w:val="28"/>
          <w:lang w:val="en-US" w:eastAsia="zh-CN" w:bidi="ar"/>
        </w:rPr>
        <w:t>行号：309451013018</w:t>
      </w:r>
    </w:p>
    <w:p w14:paraId="6CABC3E9">
      <w:pPr>
        <w:keepNext w:val="0"/>
        <w:keepLines w:val="0"/>
        <w:pageBreakBefore w:val="0"/>
        <w:widowControl w:val="0"/>
        <w:kinsoku/>
        <w:wordWrap/>
        <w:overflowPunct/>
        <w:topLinePunct w:val="0"/>
        <w:autoSpaceDE/>
        <w:autoSpaceDN/>
        <w:bidi w:val="0"/>
        <w:adjustRightInd/>
        <w:snapToGrid/>
        <w:ind w:firstLine="840" w:firstLineChars="300"/>
        <w:textAlignment w:val="auto"/>
        <w:rPr>
          <w:rFonts w:hint="eastAsia" w:ascii="仿宋_GB2312" w:cs="仿宋_GB2312"/>
          <w:sz w:val="28"/>
          <w:szCs w:val="28"/>
          <w:lang w:val="en-US" w:eastAsia="zh-CN" w:bidi="ar"/>
        </w:rPr>
      </w:pPr>
      <w:r>
        <w:rPr>
          <w:rFonts w:hint="eastAsia" w:ascii="仿宋_GB2312" w:cs="仿宋_GB2312"/>
          <w:sz w:val="28"/>
          <w:szCs w:val="28"/>
          <w:lang w:val="en-US" w:eastAsia="zh-CN" w:bidi="ar"/>
        </w:rPr>
        <w:t>注意事项：转账时，请注意备注投标的项目名称，方便后期核对退款。</w:t>
      </w:r>
    </w:p>
    <w:p w14:paraId="77FEF022">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cs="仿宋_GB2312"/>
          <w:sz w:val="28"/>
          <w:szCs w:val="28"/>
          <w:lang w:val="en-US" w:eastAsia="zh-CN" w:bidi="ar"/>
        </w:rPr>
      </w:pPr>
      <w:r>
        <w:rPr>
          <w:rFonts w:hint="eastAsia" w:ascii="仿宋_GB2312" w:cs="仿宋_GB2312"/>
          <w:sz w:val="28"/>
          <w:szCs w:val="28"/>
          <w:lang w:val="en-US" w:eastAsia="zh-CN" w:bidi="ar"/>
        </w:rPr>
        <w:t>报名后发送邮件至liyue1@sinotruk.com，</w:t>
      </w:r>
      <w:r>
        <w:rPr>
          <w:rFonts w:hint="eastAsia" w:ascii="仿宋_GB2312" w:cs="仿宋_GB2312"/>
          <w:b/>
          <w:bCs/>
          <w:sz w:val="28"/>
          <w:szCs w:val="28"/>
          <w:lang w:val="en-US" w:eastAsia="zh-CN" w:bidi="ar"/>
        </w:rPr>
        <w:t>请务必在邮件正文中文字表述付款账号、户名、开户行名称、开户行行号、保证金金额</w:t>
      </w:r>
      <w:r>
        <w:rPr>
          <w:rFonts w:hint="eastAsia" w:ascii="仿宋_GB2312" w:cs="仿宋_GB2312"/>
          <w:sz w:val="28"/>
          <w:szCs w:val="28"/>
          <w:lang w:val="en-US" w:eastAsia="zh-CN" w:bidi="ar"/>
        </w:rPr>
        <w:t>。</w:t>
      </w:r>
    </w:p>
    <w:p w14:paraId="501AD86C">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仿宋_GB2312" w:hAnsi="Times New Roman" w:cs="仿宋_GB2312"/>
          <w:sz w:val="28"/>
          <w:szCs w:val="28"/>
          <w:lang w:val="en-US" w:eastAsia="zh-CN" w:bidi="ar"/>
        </w:rPr>
      </w:pPr>
      <w:r>
        <w:rPr>
          <w:rFonts w:hint="eastAsia" w:ascii="仿宋_GB2312" w:hAnsi="Times New Roman" w:cs="仿宋_GB2312"/>
          <w:sz w:val="28"/>
          <w:szCs w:val="28"/>
          <w:lang w:val="en-US" w:eastAsia="zh-CN" w:bidi="ar"/>
        </w:rPr>
        <w:t>5.评标模式：合理最低价中标。</w:t>
      </w:r>
    </w:p>
    <w:p w14:paraId="3B3B200B">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仿宋_GB2312" w:hAnsi="Times New Roman" w:eastAsia="仿宋_GB2312" w:cs="仿宋_GB2312"/>
          <w:sz w:val="28"/>
          <w:szCs w:val="28"/>
          <w:lang w:val="en-US" w:eastAsia="zh-CN" w:bidi="ar"/>
        </w:rPr>
      </w:pPr>
      <w:r>
        <w:rPr>
          <w:rFonts w:hint="eastAsia" w:ascii="仿宋_GB2312" w:hAnsi="Times New Roman" w:cs="仿宋_GB2312"/>
          <w:sz w:val="28"/>
          <w:szCs w:val="28"/>
          <w:lang w:val="en-US" w:eastAsia="zh-CN" w:bidi="ar"/>
        </w:rPr>
        <w:t>6.交货</w:t>
      </w:r>
      <w:r>
        <w:rPr>
          <w:rFonts w:hint="eastAsia" w:ascii="仿宋_GB2312" w:hAnsi="Times New Roman" w:cs="仿宋_GB2312"/>
          <w:sz w:val="28"/>
          <w:szCs w:val="28"/>
          <w:lang w:bidi="ar"/>
        </w:rPr>
        <w:t>方式：</w:t>
      </w:r>
      <w:r>
        <w:rPr>
          <w:rFonts w:hint="eastAsia"/>
          <w:lang w:val="en-US" w:eastAsia="zh-CN"/>
        </w:rPr>
        <w:t>交钥匙方式</w:t>
      </w:r>
    </w:p>
    <w:p w14:paraId="75E00E1F">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仿宋_GB2312" w:hAnsi="Times New Roman" w:eastAsia="仿宋_GB2312" w:cs="仿宋_GB2312"/>
          <w:sz w:val="28"/>
          <w:szCs w:val="28"/>
          <w:lang w:val="en-US" w:eastAsia="zh-CN" w:bidi="ar"/>
        </w:rPr>
      </w:pPr>
      <w:r>
        <w:rPr>
          <w:rFonts w:hint="eastAsia" w:ascii="仿宋_GB2312" w:hAnsi="Times New Roman" w:cs="仿宋_GB2312"/>
          <w:sz w:val="28"/>
          <w:szCs w:val="28"/>
          <w:lang w:val="en-US" w:eastAsia="zh-CN" w:bidi="ar"/>
        </w:rPr>
        <w:t>7.</w:t>
      </w:r>
      <w:r>
        <w:rPr>
          <w:rFonts w:hint="eastAsia" w:ascii="仿宋_GB2312" w:hAnsi="Times New Roman" w:cs="仿宋_GB2312"/>
          <w:sz w:val="28"/>
          <w:szCs w:val="28"/>
          <w:lang w:bidi="ar"/>
        </w:rPr>
        <w:t>付款方式</w:t>
      </w:r>
      <w:r>
        <w:rPr>
          <w:rFonts w:hint="eastAsia" w:ascii="仿宋_GB2312" w:hAnsi="Times New Roman" w:cs="仿宋_GB2312"/>
          <w:sz w:val="28"/>
          <w:szCs w:val="28"/>
          <w:lang w:val="en-US" w:eastAsia="zh-CN" w:bidi="ar"/>
        </w:rPr>
        <w:t>及付款节点</w:t>
      </w:r>
      <w:r>
        <w:rPr>
          <w:rFonts w:hint="eastAsia" w:ascii="仿宋_GB2312" w:hAnsi="Times New Roman" w:cs="仿宋_GB2312"/>
          <w:sz w:val="28"/>
          <w:szCs w:val="28"/>
          <w:lang w:bidi="ar"/>
        </w:rPr>
        <w:t>：</w:t>
      </w:r>
      <w:r>
        <w:rPr>
          <w:rFonts w:hint="eastAsia"/>
          <w:lang w:val="en-US" w:eastAsia="zh-CN"/>
        </w:rPr>
        <w:t>银行转账，验收后支付全款</w:t>
      </w:r>
    </w:p>
    <w:p w14:paraId="393B9100">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Times New Roman" w:cs="仿宋_GB2312"/>
          <w:sz w:val="28"/>
          <w:szCs w:val="28"/>
          <w:lang w:bidi="ar"/>
        </w:rPr>
      </w:pPr>
      <w:r>
        <w:rPr>
          <w:rFonts w:hint="eastAsia" w:ascii="仿宋_GB2312" w:hAnsi="Times New Roman" w:cs="仿宋_GB2312"/>
          <w:sz w:val="28"/>
          <w:szCs w:val="28"/>
          <w:lang w:val="en-US" w:eastAsia="zh-CN" w:bidi="ar"/>
        </w:rPr>
        <w:t>8.</w:t>
      </w:r>
      <w:r>
        <w:rPr>
          <w:rFonts w:hint="eastAsia" w:ascii="仿宋_GB2312" w:hAnsi="Times New Roman" w:cs="仿宋_GB2312"/>
          <w:sz w:val="28"/>
          <w:szCs w:val="28"/>
          <w:lang w:bidi="ar"/>
        </w:rPr>
        <w:t>废标及终止招标</w:t>
      </w:r>
    </w:p>
    <w:p w14:paraId="41F19238">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Times New Roman" w:cs="仿宋_GB2312"/>
          <w:sz w:val="28"/>
          <w:szCs w:val="28"/>
          <w:lang w:bidi="ar"/>
        </w:rPr>
      </w:pPr>
      <w:r>
        <w:rPr>
          <w:rFonts w:hint="eastAsia" w:ascii="仿宋_GB2312" w:hAnsi="Times New Roman" w:cs="仿宋_GB2312"/>
          <w:sz w:val="28"/>
          <w:szCs w:val="28"/>
          <w:lang w:val="en-US" w:eastAsia="zh-CN" w:bidi="ar"/>
        </w:rPr>
        <w:t>8.</w:t>
      </w:r>
      <w:r>
        <w:rPr>
          <w:rFonts w:hint="eastAsia" w:ascii="仿宋_GB2312" w:hAnsi="Times New Roman" w:cs="仿宋_GB2312"/>
          <w:sz w:val="28"/>
          <w:szCs w:val="28"/>
          <w:lang w:bidi="ar"/>
        </w:rPr>
        <w:t>1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18E1D6DE">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Times New Roman" w:cs="仿宋_GB2312"/>
          <w:sz w:val="28"/>
          <w:szCs w:val="28"/>
          <w:lang w:bidi="ar"/>
        </w:rPr>
      </w:pPr>
      <w:r>
        <w:rPr>
          <w:rFonts w:hint="eastAsia" w:ascii="仿宋_GB2312" w:hAnsi="Times New Roman" w:cs="仿宋_GB2312"/>
          <w:sz w:val="28"/>
          <w:szCs w:val="28"/>
          <w:lang w:bidi="ar"/>
        </w:rPr>
        <w:t>（1）投标人提供的有关资格、资质证明文件不合格、不真实或提供虚假投标材料；</w:t>
      </w:r>
    </w:p>
    <w:p w14:paraId="4563DE1F">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Times New Roman" w:cs="仿宋_GB2312"/>
          <w:sz w:val="28"/>
          <w:szCs w:val="28"/>
          <w:lang w:bidi="ar"/>
        </w:rPr>
      </w:pPr>
      <w:r>
        <w:rPr>
          <w:rFonts w:hint="eastAsia" w:ascii="仿宋_GB2312" w:hAnsi="Times New Roman" w:cs="仿宋_GB2312"/>
          <w:sz w:val="28"/>
          <w:szCs w:val="28"/>
          <w:lang w:bidi="ar"/>
        </w:rPr>
        <w:t>（2）投标人在报价有效期内撤回投标；</w:t>
      </w:r>
    </w:p>
    <w:p w14:paraId="014FDD89">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Times New Roman" w:cs="仿宋_GB2312"/>
          <w:sz w:val="28"/>
          <w:szCs w:val="28"/>
          <w:lang w:bidi="ar"/>
        </w:rPr>
      </w:pPr>
      <w:r>
        <w:rPr>
          <w:rFonts w:hint="eastAsia" w:ascii="仿宋_GB2312" w:hAnsi="Times New Roman" w:cs="仿宋_GB2312"/>
          <w:sz w:val="28"/>
          <w:szCs w:val="28"/>
          <w:lang w:bidi="ar"/>
        </w:rPr>
        <w:t>（3）在整个评标过程中，投标人有企图影响评标结果公正性的任何活动；</w:t>
      </w:r>
    </w:p>
    <w:p w14:paraId="5A9E604B">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Times New Roman" w:cs="仿宋_GB2312"/>
          <w:sz w:val="28"/>
          <w:szCs w:val="28"/>
          <w:lang w:bidi="ar"/>
        </w:rPr>
      </w:pPr>
      <w:r>
        <w:rPr>
          <w:rFonts w:hint="eastAsia" w:ascii="仿宋_GB2312" w:hAnsi="Times New Roman" w:cs="仿宋_GB2312"/>
          <w:sz w:val="28"/>
          <w:szCs w:val="28"/>
          <w:lang w:bidi="ar"/>
        </w:rPr>
        <w:t>（4）投标人以任何方式诋毁其他投标人；</w:t>
      </w:r>
    </w:p>
    <w:p w14:paraId="70C8346F">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Times New Roman" w:cs="仿宋_GB2312"/>
          <w:sz w:val="28"/>
          <w:szCs w:val="28"/>
          <w:lang w:bidi="ar"/>
        </w:rPr>
      </w:pPr>
      <w:r>
        <w:rPr>
          <w:rFonts w:hint="eastAsia" w:ascii="仿宋_GB2312" w:hAnsi="Times New Roman" w:cs="仿宋_GB2312"/>
          <w:sz w:val="28"/>
          <w:szCs w:val="28"/>
          <w:lang w:bidi="ar"/>
        </w:rPr>
        <w:t>（5）投标人串通投标；</w:t>
      </w:r>
    </w:p>
    <w:p w14:paraId="49ED066B">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Times New Roman" w:cs="仿宋_GB2312"/>
          <w:sz w:val="28"/>
          <w:szCs w:val="28"/>
          <w:lang w:bidi="ar"/>
        </w:rPr>
      </w:pPr>
      <w:r>
        <w:rPr>
          <w:rFonts w:hint="eastAsia" w:ascii="仿宋_GB2312" w:hAnsi="Times New Roman" w:cs="仿宋_GB2312"/>
          <w:sz w:val="28"/>
          <w:szCs w:val="28"/>
          <w:lang w:bidi="ar"/>
        </w:rPr>
        <w:t>（6）投标人被举报、检举，并经招标人查实无误的；</w:t>
      </w:r>
    </w:p>
    <w:p w14:paraId="6AC7534F">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Times New Roman" w:cs="仿宋_GB2312"/>
          <w:sz w:val="28"/>
          <w:szCs w:val="28"/>
          <w:lang w:bidi="ar"/>
        </w:rPr>
      </w:pPr>
      <w:r>
        <w:rPr>
          <w:rFonts w:hint="eastAsia" w:ascii="仿宋_GB2312" w:hAnsi="Times New Roman" w:cs="仿宋_GB2312"/>
          <w:sz w:val="28"/>
          <w:szCs w:val="28"/>
          <w:lang w:bidi="ar"/>
        </w:rPr>
        <w:t>（7）以他人名义投标或者以其他方式弄虚作假，骗取中标的；</w:t>
      </w:r>
    </w:p>
    <w:p w14:paraId="2A154D89">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Times New Roman" w:cs="仿宋_GB2312"/>
          <w:sz w:val="28"/>
          <w:szCs w:val="28"/>
          <w:lang w:bidi="ar"/>
        </w:rPr>
      </w:pPr>
      <w:r>
        <w:rPr>
          <w:rFonts w:hint="eastAsia" w:ascii="仿宋_GB2312" w:hAnsi="Times New Roman" w:cs="仿宋_GB2312"/>
          <w:sz w:val="28"/>
          <w:szCs w:val="28"/>
          <w:lang w:bidi="ar"/>
        </w:rPr>
        <w:t>（8）投标人负责人为同一人或者存在控股、管理关系的不同单位；</w:t>
      </w:r>
    </w:p>
    <w:p w14:paraId="1C8DD17F">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Times New Roman" w:cs="仿宋_GB2312"/>
          <w:sz w:val="28"/>
          <w:szCs w:val="28"/>
          <w:lang w:bidi="ar"/>
        </w:rPr>
      </w:pPr>
      <w:r>
        <w:rPr>
          <w:rFonts w:hint="eastAsia" w:ascii="仿宋_GB2312" w:hAnsi="Times New Roman" w:cs="仿宋_GB2312"/>
          <w:sz w:val="28"/>
          <w:szCs w:val="28"/>
          <w:lang w:bidi="ar"/>
        </w:rPr>
        <w:t>（9）有效投标不足</w:t>
      </w:r>
      <w:r>
        <w:rPr>
          <w:rFonts w:hint="eastAsia" w:ascii="仿宋_GB2312" w:cs="仿宋_GB2312"/>
          <w:sz w:val="28"/>
          <w:szCs w:val="28"/>
          <w:lang w:val="en-US" w:eastAsia="zh-CN" w:bidi="ar"/>
        </w:rPr>
        <w:t>3</w:t>
      </w:r>
      <w:r>
        <w:rPr>
          <w:rFonts w:hint="eastAsia" w:ascii="仿宋_GB2312" w:hAnsi="Times New Roman" w:cs="仿宋_GB2312"/>
          <w:sz w:val="28"/>
          <w:szCs w:val="28"/>
          <w:lang w:bidi="ar"/>
        </w:rPr>
        <w:t>家；</w:t>
      </w:r>
    </w:p>
    <w:p w14:paraId="5CF53614">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Times New Roman" w:cs="仿宋_GB2312"/>
          <w:sz w:val="28"/>
          <w:szCs w:val="28"/>
          <w:lang w:bidi="ar"/>
        </w:rPr>
      </w:pPr>
      <w:r>
        <w:rPr>
          <w:rFonts w:hint="eastAsia" w:ascii="仿宋_GB2312" w:hAnsi="Times New Roman" w:cs="仿宋_GB2312"/>
          <w:sz w:val="28"/>
          <w:szCs w:val="28"/>
          <w:lang w:bidi="ar"/>
        </w:rPr>
        <w:t>（10）未按要求填报商务报价资料，对招标开展造成较大影响；</w:t>
      </w:r>
    </w:p>
    <w:p w14:paraId="5D5B21CA">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Times New Roman" w:cs="仿宋_GB2312"/>
          <w:sz w:val="28"/>
          <w:szCs w:val="28"/>
          <w:lang w:bidi="ar"/>
        </w:rPr>
      </w:pPr>
      <w:r>
        <w:rPr>
          <w:rFonts w:hint="eastAsia" w:ascii="仿宋_GB2312" w:hAnsi="Times New Roman" w:cs="仿宋_GB2312"/>
          <w:sz w:val="28"/>
          <w:szCs w:val="28"/>
          <w:lang w:bidi="ar"/>
        </w:rPr>
        <w:t>（11）未按照招标人规定的时间内在中国重汽e采通完成投标的；</w:t>
      </w:r>
    </w:p>
    <w:p w14:paraId="04F4FF55">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Times New Roman" w:cs="仿宋_GB2312"/>
          <w:sz w:val="28"/>
          <w:szCs w:val="28"/>
          <w:lang w:bidi="ar"/>
        </w:rPr>
      </w:pPr>
      <w:r>
        <w:rPr>
          <w:rFonts w:hint="eastAsia" w:ascii="仿宋_GB2312" w:hAnsi="Times New Roman" w:cs="仿宋_GB2312"/>
          <w:sz w:val="28"/>
          <w:szCs w:val="28"/>
          <w:lang w:bidi="ar"/>
        </w:rPr>
        <w:t>（12）不同投标人的投标文件异常一致；</w:t>
      </w:r>
    </w:p>
    <w:p w14:paraId="73C83D8F">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Times New Roman" w:cs="仿宋_GB2312"/>
          <w:sz w:val="28"/>
          <w:szCs w:val="28"/>
          <w:lang w:bidi="ar"/>
        </w:rPr>
      </w:pPr>
      <w:r>
        <w:rPr>
          <w:rFonts w:hint="eastAsia" w:ascii="仿宋_GB2312" w:hAnsi="Times New Roman" w:cs="仿宋_GB2312"/>
          <w:sz w:val="28"/>
          <w:szCs w:val="28"/>
          <w:lang w:bidi="ar"/>
        </w:rPr>
        <w:t>（13）投标报价呈规律性差异的；</w:t>
      </w:r>
    </w:p>
    <w:p w14:paraId="6F00B8E3">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Times New Roman" w:cs="仿宋_GB2312"/>
          <w:sz w:val="28"/>
          <w:szCs w:val="28"/>
          <w:lang w:bidi="ar"/>
        </w:rPr>
      </w:pPr>
      <w:r>
        <w:rPr>
          <w:rFonts w:hint="eastAsia" w:ascii="仿宋_GB2312" w:hAnsi="Times New Roman" w:cs="仿宋_GB2312"/>
          <w:sz w:val="28"/>
          <w:szCs w:val="28"/>
          <w:lang w:bidi="ar"/>
        </w:rPr>
        <w:t>（14）投标人报价均超过采购预算的；</w:t>
      </w:r>
    </w:p>
    <w:p w14:paraId="2CD1C6AF">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Times New Roman" w:cs="仿宋_GB2312"/>
          <w:sz w:val="28"/>
          <w:szCs w:val="28"/>
          <w:lang w:bidi="ar"/>
        </w:rPr>
      </w:pPr>
      <w:r>
        <w:rPr>
          <w:rFonts w:hint="eastAsia" w:ascii="仿宋_GB2312" w:hAnsi="Times New Roman" w:cs="仿宋_GB2312"/>
          <w:sz w:val="28"/>
          <w:szCs w:val="28"/>
          <w:lang w:bidi="ar"/>
        </w:rPr>
        <w:t>（15）法律、法规规定的其他情况。</w:t>
      </w:r>
    </w:p>
    <w:p w14:paraId="3AC5BB00">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Times New Roman" w:cs="仿宋_GB2312"/>
          <w:sz w:val="28"/>
          <w:szCs w:val="28"/>
          <w:lang w:bidi="ar"/>
        </w:rPr>
      </w:pPr>
      <w:r>
        <w:rPr>
          <w:rFonts w:hint="eastAsia" w:ascii="仿宋_GB2312" w:hAnsi="Times New Roman" w:cs="仿宋_GB2312"/>
          <w:sz w:val="28"/>
          <w:szCs w:val="28"/>
          <w:lang w:val="en-US" w:eastAsia="zh-CN" w:bidi="ar"/>
        </w:rPr>
        <w:t>8.2</w:t>
      </w:r>
      <w:r>
        <w:rPr>
          <w:rFonts w:hint="eastAsia" w:ascii="仿宋_GB2312" w:hAnsi="Times New Roman" w:cs="仿宋_GB2312"/>
          <w:sz w:val="28"/>
          <w:szCs w:val="28"/>
          <w:lang w:bidi="ar"/>
        </w:rPr>
        <w:t>出现下列情形之一，招标人有权否决所有投标人的投标，并终止招标。</w:t>
      </w:r>
    </w:p>
    <w:p w14:paraId="4329966C">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Times New Roman" w:cs="仿宋_GB2312"/>
          <w:sz w:val="28"/>
          <w:szCs w:val="28"/>
          <w:lang w:bidi="ar"/>
        </w:rPr>
      </w:pPr>
      <w:r>
        <w:rPr>
          <w:rFonts w:hint="eastAsia" w:ascii="仿宋_GB2312" w:hAnsi="Times New Roman" w:cs="仿宋_GB2312"/>
          <w:sz w:val="28"/>
          <w:szCs w:val="28"/>
          <w:lang w:bidi="ar"/>
        </w:rPr>
        <w:t>（1）符合条件的投标人或者对招标文件做实质响应的投标人不足三家的；</w:t>
      </w:r>
    </w:p>
    <w:p w14:paraId="23CBFB31">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Times New Roman" w:cs="仿宋_GB2312"/>
          <w:sz w:val="28"/>
          <w:szCs w:val="28"/>
          <w:lang w:bidi="ar"/>
        </w:rPr>
      </w:pPr>
      <w:r>
        <w:rPr>
          <w:rFonts w:hint="eastAsia" w:ascii="仿宋_GB2312" w:hAnsi="Times New Roman" w:cs="仿宋_GB2312"/>
          <w:sz w:val="28"/>
          <w:szCs w:val="28"/>
          <w:lang w:bidi="ar"/>
        </w:rPr>
        <w:t>（2）出现影响采购公正的违法、违规行为的；</w:t>
      </w:r>
    </w:p>
    <w:p w14:paraId="53D6AB15">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Times New Roman" w:cs="仿宋_GB2312"/>
          <w:sz w:val="28"/>
          <w:szCs w:val="28"/>
          <w:lang w:bidi="ar"/>
        </w:rPr>
      </w:pPr>
      <w:r>
        <w:rPr>
          <w:rFonts w:hint="eastAsia" w:ascii="仿宋_GB2312" w:hAnsi="Times New Roman" w:cs="仿宋_GB2312"/>
          <w:sz w:val="28"/>
          <w:szCs w:val="28"/>
          <w:lang w:bidi="ar"/>
        </w:rPr>
        <w:t>（3）评标委员会经评审，认为所有投标都不符合招标文件要求的；</w:t>
      </w:r>
    </w:p>
    <w:p w14:paraId="1A32EF9C">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Times New Roman" w:cs="仿宋_GB2312"/>
          <w:sz w:val="28"/>
          <w:szCs w:val="28"/>
          <w:lang w:bidi="ar"/>
        </w:rPr>
      </w:pPr>
      <w:r>
        <w:rPr>
          <w:rFonts w:hint="eastAsia" w:ascii="仿宋_GB2312" w:hAnsi="Times New Roman" w:cs="仿宋_GB2312"/>
          <w:sz w:val="28"/>
          <w:szCs w:val="28"/>
          <w:lang w:bidi="ar"/>
        </w:rPr>
        <w:t>（4）因重大变故，采购任务取消的；</w:t>
      </w:r>
    </w:p>
    <w:p w14:paraId="5FFD2F4D">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Times New Roman" w:cs="仿宋_GB2312"/>
          <w:sz w:val="28"/>
          <w:szCs w:val="28"/>
          <w:lang w:bidi="ar"/>
        </w:rPr>
      </w:pPr>
      <w:r>
        <w:rPr>
          <w:rFonts w:hint="eastAsia" w:ascii="仿宋_GB2312" w:hAnsi="Times New Roman" w:cs="仿宋_GB2312"/>
          <w:sz w:val="28"/>
          <w:szCs w:val="28"/>
          <w:lang w:bidi="ar"/>
        </w:rPr>
        <w:t>（5）投标人承诺同意由于招标人公司政策变化引起的随时终止项目的要求并承担由此带来的一切损失；</w:t>
      </w:r>
    </w:p>
    <w:p w14:paraId="5995FF03">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Times New Roman" w:cs="仿宋_GB2312"/>
          <w:sz w:val="28"/>
          <w:szCs w:val="28"/>
          <w:lang w:bidi="ar"/>
        </w:rPr>
      </w:pPr>
      <w:r>
        <w:rPr>
          <w:rFonts w:hint="eastAsia" w:ascii="仿宋_GB2312" w:hAnsi="Times New Roman" w:cs="仿宋_GB2312"/>
          <w:sz w:val="28"/>
          <w:szCs w:val="28"/>
          <w:lang w:bidi="ar"/>
        </w:rPr>
        <w:t>（6）招标人认为其他应终止招标的情形。</w:t>
      </w:r>
    </w:p>
    <w:p w14:paraId="763A6C1E">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Times New Roman" w:cs="仿宋_GB2312"/>
          <w:sz w:val="28"/>
          <w:szCs w:val="28"/>
          <w:lang w:bidi="ar"/>
        </w:rPr>
      </w:pPr>
      <w:r>
        <w:rPr>
          <w:rFonts w:hint="eastAsia" w:ascii="仿宋_GB2312" w:hAnsi="Times New Roman" w:cs="仿宋_GB2312"/>
          <w:sz w:val="28"/>
          <w:szCs w:val="28"/>
          <w:lang w:val="en-US" w:eastAsia="zh-CN" w:bidi="ar"/>
        </w:rPr>
        <w:t>9.</w:t>
      </w:r>
      <w:r>
        <w:rPr>
          <w:rFonts w:hint="eastAsia" w:ascii="仿宋_GB2312" w:hAnsi="Times New Roman" w:cs="仿宋_GB2312"/>
          <w:sz w:val="28"/>
          <w:szCs w:val="28"/>
          <w:lang w:bidi="ar"/>
        </w:rPr>
        <w:t>中标人瑕疵滞后发现的处理原则：</w:t>
      </w:r>
    </w:p>
    <w:p w14:paraId="268D1824">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Times New Roman" w:cs="仿宋_GB2312"/>
          <w:sz w:val="28"/>
          <w:szCs w:val="28"/>
          <w:lang w:bidi="ar"/>
        </w:rPr>
      </w:pPr>
      <w:r>
        <w:rPr>
          <w:rFonts w:hint="eastAsia" w:ascii="仿宋_GB2312" w:hAnsi="Times New Roman" w:cs="仿宋_GB2312"/>
          <w:sz w:val="28"/>
          <w:szCs w:val="28"/>
          <w:lang w:bidi="ar"/>
        </w:rPr>
        <w:t>无论基于何种原因，各项本应作为拒绝处理的情形，即便未被及时发现或中标人隐瞒真实情况，而使该中标人通过了资格审核、初评、现场复审、终评或其他所有相关程序，包括已发布中标通知或已签订合同的情形，招标人均有权拒绝或取消中标人资格，一旦中标人被拒绝或该中标人此前的评议结果被取消，相关的一切损失均由该中标人承担。</w:t>
      </w:r>
    </w:p>
    <w:p w14:paraId="24904536">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Times New Roman" w:cs="仿宋_GB2312"/>
          <w:sz w:val="28"/>
          <w:szCs w:val="28"/>
          <w:lang w:bidi="ar"/>
        </w:rPr>
      </w:pPr>
      <w:r>
        <w:rPr>
          <w:rFonts w:hint="eastAsia" w:ascii="仿宋_GB2312" w:hAnsi="Times New Roman" w:cs="仿宋_GB2312"/>
          <w:sz w:val="28"/>
          <w:szCs w:val="28"/>
          <w:lang w:bidi="ar"/>
        </w:rPr>
        <w:t>1</w:t>
      </w:r>
      <w:r>
        <w:rPr>
          <w:rFonts w:hint="eastAsia" w:ascii="仿宋_GB2312" w:cs="仿宋_GB2312"/>
          <w:sz w:val="28"/>
          <w:szCs w:val="28"/>
          <w:lang w:val="en-US" w:eastAsia="zh-CN" w:bidi="ar"/>
        </w:rPr>
        <w:t>0</w:t>
      </w:r>
      <w:r>
        <w:rPr>
          <w:rFonts w:hint="eastAsia" w:ascii="仿宋_GB2312" w:hAnsi="Times New Roman" w:cs="仿宋_GB2312"/>
          <w:sz w:val="28"/>
          <w:szCs w:val="28"/>
          <w:lang w:bidi="ar"/>
        </w:rPr>
        <w:t>、供应商报名时间：</w:t>
      </w:r>
    </w:p>
    <w:p w14:paraId="2D8FCB90">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Times New Roman" w:cs="仿宋_GB2312"/>
          <w:sz w:val="28"/>
          <w:szCs w:val="28"/>
          <w:lang w:bidi="ar"/>
        </w:rPr>
      </w:pPr>
      <w:r>
        <w:rPr>
          <w:rFonts w:hint="eastAsia" w:ascii="仿宋_GB2312" w:hAnsi="Times New Roman" w:cs="仿宋_GB2312"/>
          <w:sz w:val="28"/>
          <w:szCs w:val="28"/>
          <w:lang w:bidi="ar"/>
        </w:rPr>
        <w:t>（1）发标时间：2026年</w:t>
      </w:r>
      <w:r>
        <w:rPr>
          <w:rFonts w:hint="eastAsia" w:ascii="仿宋_GB2312" w:cs="仿宋_GB2312"/>
          <w:sz w:val="28"/>
          <w:szCs w:val="28"/>
          <w:lang w:val="en-US" w:eastAsia="zh-CN" w:bidi="ar"/>
        </w:rPr>
        <w:t>9</w:t>
      </w:r>
      <w:r>
        <w:rPr>
          <w:rFonts w:hint="eastAsia" w:ascii="仿宋_GB2312" w:hAnsi="Times New Roman" w:cs="仿宋_GB2312"/>
          <w:sz w:val="28"/>
          <w:szCs w:val="28"/>
          <w:lang w:bidi="ar"/>
        </w:rPr>
        <w:t>月</w:t>
      </w:r>
      <w:r>
        <w:rPr>
          <w:rFonts w:hint="eastAsia" w:ascii="仿宋_GB2312" w:cs="仿宋_GB2312"/>
          <w:sz w:val="28"/>
          <w:szCs w:val="28"/>
          <w:lang w:val="en-US" w:eastAsia="zh-CN" w:bidi="ar"/>
        </w:rPr>
        <w:t>14</w:t>
      </w:r>
      <w:r>
        <w:rPr>
          <w:rFonts w:hint="eastAsia" w:ascii="仿宋_GB2312" w:hAnsi="Times New Roman" w:cs="仿宋_GB2312"/>
          <w:sz w:val="28"/>
          <w:szCs w:val="28"/>
          <w:lang w:bidi="ar"/>
        </w:rPr>
        <w:t>日（</w:t>
      </w:r>
      <w:r>
        <w:rPr>
          <w:rFonts w:hint="eastAsia" w:ascii="仿宋_GB2312" w:cs="仿宋_GB2312"/>
          <w:sz w:val="28"/>
          <w:szCs w:val="28"/>
          <w:lang w:val="en-US" w:eastAsia="zh-CN" w:bidi="ar"/>
        </w:rPr>
        <w:t>周一</w:t>
      </w:r>
      <w:r>
        <w:rPr>
          <w:rFonts w:hint="eastAsia" w:ascii="仿宋_GB2312" w:hAnsi="Times New Roman" w:cs="仿宋_GB2312"/>
          <w:sz w:val="28"/>
          <w:szCs w:val="28"/>
          <w:lang w:bidi="ar"/>
        </w:rPr>
        <w:t>）</w:t>
      </w:r>
    </w:p>
    <w:p w14:paraId="796E2719">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Times New Roman" w:cs="仿宋_GB2312"/>
          <w:sz w:val="28"/>
          <w:szCs w:val="28"/>
          <w:lang w:bidi="ar"/>
        </w:rPr>
      </w:pPr>
      <w:r>
        <w:rPr>
          <w:rFonts w:hint="eastAsia" w:ascii="仿宋_GB2312" w:hAnsi="Times New Roman" w:cs="仿宋_GB2312"/>
          <w:sz w:val="28"/>
          <w:szCs w:val="28"/>
          <w:lang w:bidi="ar"/>
        </w:rPr>
        <w:t>（2）应标截止时间：2026 年</w:t>
      </w:r>
      <w:r>
        <w:rPr>
          <w:rFonts w:hint="eastAsia" w:ascii="仿宋_GB2312" w:cs="仿宋_GB2312"/>
          <w:sz w:val="28"/>
          <w:szCs w:val="28"/>
          <w:lang w:val="en-US" w:eastAsia="zh-CN" w:bidi="ar"/>
        </w:rPr>
        <w:t>9</w:t>
      </w:r>
      <w:r>
        <w:rPr>
          <w:rFonts w:hint="eastAsia" w:ascii="仿宋_GB2312" w:hAnsi="Times New Roman" w:cs="仿宋_GB2312"/>
          <w:sz w:val="28"/>
          <w:szCs w:val="28"/>
          <w:lang w:bidi="ar"/>
        </w:rPr>
        <w:t>月</w:t>
      </w:r>
      <w:r>
        <w:rPr>
          <w:rFonts w:hint="eastAsia" w:ascii="仿宋_GB2312" w:cs="仿宋_GB2312"/>
          <w:sz w:val="28"/>
          <w:szCs w:val="28"/>
          <w:lang w:val="en-US" w:eastAsia="zh-CN" w:bidi="ar"/>
        </w:rPr>
        <w:t>19</w:t>
      </w:r>
      <w:r>
        <w:rPr>
          <w:rFonts w:hint="eastAsia" w:ascii="仿宋_GB2312" w:hAnsi="Times New Roman" w:cs="仿宋_GB2312"/>
          <w:sz w:val="28"/>
          <w:szCs w:val="28"/>
          <w:lang w:bidi="ar"/>
        </w:rPr>
        <w:t>日（周</w:t>
      </w:r>
      <w:r>
        <w:rPr>
          <w:rFonts w:hint="eastAsia" w:ascii="仿宋_GB2312" w:cs="仿宋_GB2312"/>
          <w:sz w:val="28"/>
          <w:szCs w:val="28"/>
          <w:lang w:val="en-US" w:eastAsia="zh-CN" w:bidi="ar"/>
        </w:rPr>
        <w:t>六</w:t>
      </w:r>
      <w:r>
        <w:rPr>
          <w:rFonts w:hint="eastAsia" w:ascii="仿宋_GB2312" w:hAnsi="Times New Roman" w:cs="仿宋_GB2312"/>
          <w:sz w:val="28"/>
          <w:szCs w:val="28"/>
          <w:lang w:bidi="ar"/>
        </w:rPr>
        <w:t>）17:00:00</w:t>
      </w:r>
    </w:p>
    <w:p w14:paraId="20B4E55E">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Times New Roman" w:cs="仿宋_GB2312"/>
          <w:sz w:val="28"/>
          <w:szCs w:val="28"/>
          <w:lang w:bidi="ar"/>
        </w:rPr>
      </w:pPr>
      <w:r>
        <w:rPr>
          <w:rFonts w:hint="eastAsia" w:ascii="仿宋_GB2312" w:hAnsi="Times New Roman" w:cs="仿宋_GB2312"/>
          <w:sz w:val="28"/>
          <w:szCs w:val="28"/>
          <w:lang w:bidi="ar"/>
        </w:rPr>
        <w:t>（3）投标截止时间：2026 年</w:t>
      </w:r>
      <w:r>
        <w:rPr>
          <w:rFonts w:hint="eastAsia" w:ascii="仿宋_GB2312" w:cs="仿宋_GB2312"/>
          <w:sz w:val="28"/>
          <w:szCs w:val="28"/>
          <w:lang w:val="en-US" w:eastAsia="zh-CN" w:bidi="ar"/>
        </w:rPr>
        <w:t>9</w:t>
      </w:r>
      <w:r>
        <w:rPr>
          <w:rFonts w:hint="eastAsia" w:ascii="仿宋_GB2312" w:hAnsi="Times New Roman" w:cs="仿宋_GB2312"/>
          <w:sz w:val="28"/>
          <w:szCs w:val="28"/>
          <w:lang w:bidi="ar"/>
        </w:rPr>
        <w:t>月</w:t>
      </w:r>
      <w:r>
        <w:rPr>
          <w:rFonts w:hint="eastAsia" w:ascii="仿宋_GB2312" w:cs="仿宋_GB2312"/>
          <w:sz w:val="28"/>
          <w:szCs w:val="28"/>
          <w:lang w:val="en-US" w:eastAsia="zh-CN" w:bidi="ar"/>
        </w:rPr>
        <w:t>25</w:t>
      </w:r>
      <w:r>
        <w:rPr>
          <w:rFonts w:hint="eastAsia" w:ascii="仿宋_GB2312" w:hAnsi="Times New Roman" w:cs="仿宋_GB2312"/>
          <w:sz w:val="28"/>
          <w:szCs w:val="28"/>
          <w:lang w:bidi="ar"/>
        </w:rPr>
        <w:t>日（周</w:t>
      </w:r>
      <w:r>
        <w:rPr>
          <w:rFonts w:hint="eastAsia" w:ascii="仿宋_GB2312" w:cs="仿宋_GB2312"/>
          <w:sz w:val="28"/>
          <w:szCs w:val="28"/>
          <w:lang w:val="en-US" w:eastAsia="zh-CN" w:bidi="ar"/>
        </w:rPr>
        <w:t>五</w:t>
      </w:r>
      <w:r>
        <w:rPr>
          <w:rFonts w:hint="eastAsia" w:ascii="仿宋_GB2312" w:hAnsi="Times New Roman" w:cs="仿宋_GB2312"/>
          <w:sz w:val="28"/>
          <w:szCs w:val="28"/>
          <w:lang w:bidi="ar"/>
        </w:rPr>
        <w:t>）9:</w:t>
      </w:r>
      <w:r>
        <w:rPr>
          <w:rFonts w:hint="eastAsia" w:ascii="仿宋_GB2312" w:cs="仿宋_GB2312"/>
          <w:sz w:val="28"/>
          <w:szCs w:val="28"/>
          <w:lang w:val="en-US" w:eastAsia="zh-CN" w:bidi="ar"/>
        </w:rPr>
        <w:t>0</w:t>
      </w:r>
      <w:bookmarkStart w:id="0" w:name="_GoBack"/>
      <w:bookmarkEnd w:id="0"/>
      <w:r>
        <w:rPr>
          <w:rFonts w:hint="eastAsia" w:ascii="仿宋_GB2312" w:hAnsi="Times New Roman" w:cs="仿宋_GB2312"/>
          <w:sz w:val="28"/>
          <w:szCs w:val="28"/>
          <w:lang w:bidi="ar"/>
        </w:rPr>
        <w:t>0:00</w:t>
      </w:r>
    </w:p>
    <w:p w14:paraId="42D90777">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Times New Roman" w:cs="仿宋_GB2312"/>
          <w:sz w:val="28"/>
          <w:szCs w:val="28"/>
          <w:lang w:bidi="ar"/>
        </w:rPr>
      </w:pPr>
      <w:r>
        <w:rPr>
          <w:rFonts w:hint="eastAsia" w:ascii="仿宋_GB2312" w:cs="仿宋_GB2312"/>
          <w:sz w:val="28"/>
          <w:szCs w:val="28"/>
          <w:lang w:val="en-US" w:eastAsia="zh-CN" w:bidi="ar"/>
        </w:rPr>
        <w:t>11</w:t>
      </w:r>
      <w:r>
        <w:rPr>
          <w:rFonts w:hint="eastAsia" w:ascii="仿宋_GB2312" w:hAnsi="Times New Roman" w:cs="仿宋_GB2312"/>
          <w:sz w:val="28"/>
          <w:szCs w:val="28"/>
          <w:lang w:bidi="ar"/>
        </w:rPr>
        <w:t>、发布招标方式：本次招标公告在中国重汽官方网站</w:t>
      </w:r>
      <w:r>
        <w:rPr>
          <w:rFonts w:hint="eastAsia" w:ascii="仿宋_GB2312" w:cs="仿宋_GB2312"/>
          <w:sz w:val="28"/>
          <w:szCs w:val="28"/>
          <w:lang w:eastAsia="zh-CN" w:bidi="ar"/>
        </w:rPr>
        <w:t>、</w:t>
      </w:r>
      <w:r>
        <w:rPr>
          <w:rFonts w:hint="eastAsia" w:ascii="仿宋_GB2312" w:hAnsi="Times New Roman" w:cs="仿宋_GB2312"/>
          <w:sz w:val="28"/>
          <w:szCs w:val="28"/>
          <w:lang w:bidi="ar"/>
        </w:rPr>
        <w:t>中国重汽E采通平台发布。</w:t>
      </w:r>
    </w:p>
    <w:p w14:paraId="34474168">
      <w:pPr>
        <w:keepNext w:val="0"/>
        <w:keepLines w:val="0"/>
        <w:pageBreakBefore w:val="0"/>
        <w:widowControl w:val="0"/>
        <w:kinsoku/>
        <w:wordWrap/>
        <w:overflowPunct/>
        <w:topLinePunct w:val="0"/>
        <w:autoSpaceDE/>
        <w:autoSpaceDN/>
        <w:bidi w:val="0"/>
        <w:adjustRightInd/>
        <w:snapToGrid/>
        <w:ind w:firstLine="562" w:firstLineChars="200"/>
        <w:textAlignment w:val="auto"/>
        <w:rPr>
          <w:rFonts w:hint="eastAsia" w:ascii="仿宋_GB2312" w:cs="仿宋_GB2312"/>
          <w:bCs/>
          <w:sz w:val="28"/>
          <w:szCs w:val="28"/>
          <w:lang w:val="en-US" w:eastAsia="zh-CN" w:bidi="ar"/>
        </w:rPr>
      </w:pPr>
      <w:r>
        <w:rPr>
          <w:rFonts w:hint="eastAsia" w:ascii="仿宋_GB2312" w:cs="仿宋_GB2312"/>
          <w:b/>
          <w:sz w:val="28"/>
          <w:szCs w:val="28"/>
          <w:lang w:bidi="ar"/>
        </w:rPr>
        <w:t>请</w:t>
      </w:r>
      <w:r>
        <w:rPr>
          <w:rFonts w:hint="eastAsia" w:ascii="仿宋_GB2312" w:cs="仿宋_GB2312"/>
          <w:b/>
          <w:sz w:val="28"/>
          <w:szCs w:val="28"/>
          <w:lang w:val="en-US" w:eastAsia="zh-CN" w:bidi="ar"/>
        </w:rPr>
        <w:t>投标</w:t>
      </w:r>
      <w:r>
        <w:rPr>
          <w:rFonts w:hint="eastAsia" w:ascii="仿宋_GB2312" w:cs="仿宋_GB2312"/>
          <w:b/>
          <w:sz w:val="28"/>
          <w:szCs w:val="28"/>
          <w:lang w:bidi="ar"/>
        </w:rPr>
        <w:t>单位</w:t>
      </w:r>
      <w:r>
        <w:rPr>
          <w:rFonts w:hint="eastAsia" w:ascii="仿宋_GB2312" w:cs="仿宋_GB2312"/>
          <w:b/>
          <w:sz w:val="28"/>
          <w:szCs w:val="28"/>
          <w:lang w:val="en-US" w:eastAsia="zh-CN" w:bidi="ar"/>
        </w:rPr>
        <w:t>在规定时间内在中国重汽E采通系统中完成应标报名和投标文件上传。报单中</w:t>
      </w:r>
      <w:r>
        <w:rPr>
          <w:rFonts w:hint="eastAsia" w:ascii="仿宋_GB2312" w:cs="仿宋_GB2312"/>
          <w:b/>
          <w:sz w:val="28"/>
          <w:szCs w:val="28"/>
          <w:lang w:bidi="ar"/>
        </w:rPr>
        <w:t>写明付款方式及</w:t>
      </w:r>
      <w:r>
        <w:rPr>
          <w:rFonts w:hint="eastAsia" w:ascii="仿宋_GB2312" w:cs="仿宋_GB2312"/>
          <w:b/>
          <w:sz w:val="28"/>
          <w:szCs w:val="28"/>
          <w:lang w:val="en-US" w:eastAsia="zh-CN" w:bidi="ar"/>
        </w:rPr>
        <w:t>交付</w:t>
      </w:r>
      <w:r>
        <w:rPr>
          <w:rFonts w:hint="eastAsia" w:ascii="仿宋_GB2312" w:cs="仿宋_GB2312"/>
          <w:b/>
          <w:sz w:val="28"/>
          <w:szCs w:val="28"/>
          <w:lang w:bidi="ar"/>
        </w:rPr>
        <w:t>时间、</w:t>
      </w:r>
      <w:r>
        <w:rPr>
          <w:rFonts w:hint="eastAsia" w:ascii="仿宋_GB2312" w:cs="仿宋_GB2312"/>
          <w:b/>
          <w:sz w:val="28"/>
          <w:szCs w:val="28"/>
          <w:lang w:val="en-US" w:eastAsia="zh-CN" w:bidi="ar"/>
        </w:rPr>
        <w:t>交付</w:t>
      </w:r>
      <w:r>
        <w:rPr>
          <w:rFonts w:hint="eastAsia" w:ascii="仿宋_GB2312" w:cs="仿宋_GB2312"/>
          <w:b/>
          <w:sz w:val="28"/>
          <w:szCs w:val="28"/>
          <w:lang w:bidi="ar"/>
        </w:rPr>
        <w:t>方式等是否响应我公司要求。</w:t>
      </w:r>
      <w:r>
        <w:rPr>
          <w:rFonts w:hint="eastAsia" w:ascii="仿宋_GB2312" w:cs="仿宋_GB2312"/>
          <w:b/>
          <w:sz w:val="28"/>
          <w:szCs w:val="28"/>
          <w:lang w:val="en-US" w:eastAsia="zh-CN" w:bidi="ar"/>
        </w:rPr>
        <w:t>并在确认会议时间后按时参会。</w:t>
      </w:r>
    </w:p>
    <w:p w14:paraId="738842C0">
      <w:pPr>
        <w:keepNext w:val="0"/>
        <w:keepLines w:val="0"/>
        <w:pageBreakBefore w:val="0"/>
        <w:widowControl w:val="0"/>
        <w:kinsoku/>
        <w:wordWrap/>
        <w:overflowPunct/>
        <w:topLinePunct w:val="0"/>
        <w:autoSpaceDE/>
        <w:autoSpaceDN/>
        <w:bidi w:val="0"/>
        <w:adjustRightInd/>
        <w:snapToGrid/>
        <w:ind w:firstLine="645"/>
        <w:jc w:val="right"/>
        <w:textAlignment w:val="auto"/>
        <w:rPr>
          <w:rFonts w:hint="eastAsia" w:ascii="仿宋_GB2312" w:cs="仿宋_GB2312"/>
          <w:bCs/>
          <w:sz w:val="28"/>
          <w:szCs w:val="28"/>
          <w:lang w:val="en-US" w:eastAsia="zh-CN" w:bidi="ar"/>
        </w:rPr>
      </w:pPr>
    </w:p>
    <w:p w14:paraId="2CA650C2">
      <w:pPr>
        <w:keepNext w:val="0"/>
        <w:keepLines w:val="0"/>
        <w:pageBreakBefore w:val="0"/>
        <w:widowControl w:val="0"/>
        <w:kinsoku/>
        <w:wordWrap/>
        <w:overflowPunct/>
        <w:topLinePunct w:val="0"/>
        <w:autoSpaceDE/>
        <w:autoSpaceDN/>
        <w:bidi w:val="0"/>
        <w:adjustRightInd/>
        <w:snapToGrid/>
        <w:ind w:firstLine="645"/>
        <w:jc w:val="right"/>
        <w:textAlignment w:val="auto"/>
        <w:rPr>
          <w:rFonts w:hint="eastAsia" w:ascii="仿宋_GB2312" w:cs="仿宋_GB2312"/>
          <w:bCs/>
          <w:sz w:val="28"/>
          <w:szCs w:val="28"/>
          <w:lang w:val="en-US" w:eastAsia="zh-CN" w:bidi="ar"/>
        </w:rPr>
      </w:pPr>
    </w:p>
    <w:p w14:paraId="5BE5834B">
      <w:pPr>
        <w:keepNext w:val="0"/>
        <w:keepLines w:val="0"/>
        <w:pageBreakBefore w:val="0"/>
        <w:widowControl w:val="0"/>
        <w:kinsoku/>
        <w:wordWrap/>
        <w:overflowPunct/>
        <w:topLinePunct w:val="0"/>
        <w:autoSpaceDE/>
        <w:autoSpaceDN/>
        <w:bidi w:val="0"/>
        <w:adjustRightInd/>
        <w:snapToGrid/>
        <w:ind w:firstLine="645"/>
        <w:jc w:val="right"/>
        <w:textAlignment w:val="auto"/>
        <w:rPr>
          <w:rFonts w:hint="eastAsia" w:ascii="仿宋_GB2312" w:cs="仿宋_GB2312"/>
          <w:bCs/>
          <w:sz w:val="28"/>
          <w:szCs w:val="28"/>
          <w:lang w:val="en-US" w:eastAsia="zh-CN" w:bidi="ar"/>
        </w:rPr>
      </w:pPr>
      <w:r>
        <w:rPr>
          <w:rFonts w:hint="eastAsia" w:ascii="仿宋_GB2312" w:cs="仿宋_GB2312"/>
          <w:bCs/>
          <w:sz w:val="28"/>
          <w:szCs w:val="28"/>
          <w:lang w:val="en-US" w:eastAsia="zh-CN" w:bidi="ar"/>
        </w:rPr>
        <w:t>产品试验检测中心</w:t>
      </w:r>
    </w:p>
    <w:p w14:paraId="3472F3B2">
      <w:pPr>
        <w:keepNext w:val="0"/>
        <w:keepLines w:val="0"/>
        <w:pageBreakBefore w:val="0"/>
        <w:widowControl w:val="0"/>
        <w:kinsoku/>
        <w:wordWrap/>
        <w:overflowPunct/>
        <w:topLinePunct w:val="0"/>
        <w:autoSpaceDE/>
        <w:autoSpaceDN/>
        <w:bidi w:val="0"/>
        <w:adjustRightInd/>
        <w:snapToGrid/>
        <w:jc w:val="right"/>
        <w:textAlignment w:val="auto"/>
        <w:rPr>
          <w:rFonts w:hint="eastAsia" w:ascii="仿宋_GB2312" w:cs="仿宋_GB2312"/>
          <w:bCs/>
          <w:sz w:val="32"/>
          <w:szCs w:val="32"/>
          <w:lang w:val="en-US" w:eastAsia="zh-CN" w:bidi="ar"/>
        </w:rPr>
      </w:pPr>
      <w:r>
        <w:rPr>
          <w:rFonts w:hint="eastAsia" w:ascii="仿宋_GB2312" w:cs="仿宋_GB2312"/>
          <w:bCs/>
          <w:sz w:val="28"/>
          <w:szCs w:val="28"/>
          <w:lang w:val="en-US" w:eastAsia="zh-CN" w:bidi="ar"/>
        </w:rPr>
        <w:t>2026年9月14日</w:t>
      </w:r>
      <w:r>
        <w:rPr>
          <w:rFonts w:hint="eastAsia" w:ascii="仿宋_GB2312" w:cs="仿宋_GB2312"/>
          <w:bCs/>
          <w:sz w:val="32"/>
          <w:szCs w:val="32"/>
          <w:lang w:val="en-US" w:eastAsia="zh-CN" w:bidi="ar"/>
        </w:rPr>
        <w:br w:type="page"/>
      </w:r>
    </w:p>
    <w:p w14:paraId="03F80F1B">
      <w:pPr>
        <w:jc w:val="left"/>
        <w:rPr>
          <w:rFonts w:hint="eastAsia" w:ascii="仿宋_GB2312" w:cs="仿宋_GB2312"/>
          <w:bCs/>
          <w:sz w:val="32"/>
          <w:szCs w:val="32"/>
          <w:lang w:bidi="ar"/>
        </w:rPr>
      </w:pPr>
      <w:r>
        <w:rPr>
          <w:rFonts w:hint="eastAsia" w:ascii="仿宋_GB2312" w:cs="仿宋_GB2312"/>
          <w:bCs/>
          <w:sz w:val="32"/>
          <w:szCs w:val="32"/>
          <w:lang w:bidi="ar"/>
        </w:rPr>
        <w:t>附件</w:t>
      </w:r>
      <w:r>
        <w:rPr>
          <w:rFonts w:hint="eastAsia" w:ascii="仿宋_GB2312" w:cs="仿宋_GB2312"/>
          <w:bCs/>
          <w:sz w:val="32"/>
          <w:szCs w:val="32"/>
          <w:lang w:val="en-US" w:eastAsia="zh-CN" w:bidi="ar"/>
        </w:rPr>
        <w:t>1</w:t>
      </w:r>
      <w:r>
        <w:rPr>
          <w:rFonts w:hint="eastAsia" w:ascii="仿宋_GB2312" w:cs="仿宋_GB2312"/>
          <w:bCs/>
          <w:sz w:val="32"/>
          <w:szCs w:val="32"/>
          <w:lang w:bidi="ar"/>
        </w:rPr>
        <w:t>：报价明细单</w:t>
      </w:r>
    </w:p>
    <w:tbl>
      <w:tblPr>
        <w:tblStyle w:val="9"/>
        <w:tblW w:w="9678" w:type="dxa"/>
        <w:tblInd w:w="10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27"/>
        <w:gridCol w:w="1476"/>
        <w:gridCol w:w="1266"/>
        <w:gridCol w:w="3924"/>
        <w:gridCol w:w="750"/>
        <w:gridCol w:w="636"/>
        <w:gridCol w:w="596"/>
        <w:gridCol w:w="603"/>
      </w:tblGrid>
      <w:tr w14:paraId="26911F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4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11A61">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序号</w:t>
            </w:r>
          </w:p>
        </w:tc>
        <w:tc>
          <w:tcPr>
            <w:tcW w:w="14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814C9">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施工范围</w:t>
            </w:r>
          </w:p>
        </w:tc>
        <w:tc>
          <w:tcPr>
            <w:tcW w:w="12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5D950">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工程名称</w:t>
            </w:r>
          </w:p>
        </w:tc>
        <w:tc>
          <w:tcPr>
            <w:tcW w:w="39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FA4C1">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详细内容</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E8EF8">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数量</w:t>
            </w:r>
          </w:p>
        </w:tc>
        <w:tc>
          <w:tcPr>
            <w:tcW w:w="6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F3000">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单位</w:t>
            </w:r>
          </w:p>
        </w:tc>
        <w:tc>
          <w:tcPr>
            <w:tcW w:w="5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E93C7">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单价</w:t>
            </w:r>
          </w:p>
        </w:tc>
        <w:tc>
          <w:tcPr>
            <w:tcW w:w="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B900E">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小计</w:t>
            </w:r>
          </w:p>
        </w:tc>
      </w:tr>
      <w:tr w14:paraId="67B11B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4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D3F0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47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97A4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楼顶幕墙</w:t>
            </w:r>
          </w:p>
        </w:tc>
        <w:tc>
          <w:tcPr>
            <w:tcW w:w="126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292DF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楼顶发光字</w:t>
            </w:r>
          </w:p>
        </w:tc>
        <w:tc>
          <w:tcPr>
            <w:tcW w:w="3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BFEA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镀锌加厚切割造型字（光源LED蓝景灯）</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白天为标准LOGO色；夜间通体发光红色。</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BF54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约12</w:t>
            </w:r>
          </w:p>
        </w:tc>
        <w:tc>
          <w:tcPr>
            <w:tcW w:w="6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F32B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5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8BC6D">
            <w:pPr>
              <w:jc w:val="center"/>
              <w:rPr>
                <w:rFonts w:hint="eastAsia" w:ascii="宋体" w:hAnsi="宋体" w:eastAsia="宋体" w:cs="宋体"/>
                <w:i w:val="0"/>
                <w:iCs w:val="0"/>
                <w:color w:val="000000"/>
                <w:sz w:val="21"/>
                <w:szCs w:val="21"/>
                <w:u w:val="none"/>
              </w:rPr>
            </w:pPr>
          </w:p>
        </w:tc>
        <w:tc>
          <w:tcPr>
            <w:tcW w:w="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08F05">
            <w:pPr>
              <w:jc w:val="center"/>
              <w:rPr>
                <w:rFonts w:hint="eastAsia" w:ascii="宋体" w:hAnsi="宋体" w:eastAsia="宋体" w:cs="宋体"/>
                <w:i w:val="0"/>
                <w:iCs w:val="0"/>
                <w:color w:val="000000"/>
                <w:sz w:val="21"/>
                <w:szCs w:val="21"/>
                <w:u w:val="none"/>
              </w:rPr>
            </w:pPr>
          </w:p>
        </w:tc>
      </w:tr>
      <w:tr w14:paraId="67B50E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4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745E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47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EDC3B">
            <w:pPr>
              <w:jc w:val="center"/>
              <w:rPr>
                <w:rFonts w:hint="eastAsia" w:ascii="宋体" w:hAnsi="宋体" w:eastAsia="宋体" w:cs="宋体"/>
                <w:i w:val="0"/>
                <w:iCs w:val="0"/>
                <w:color w:val="000000"/>
                <w:sz w:val="21"/>
                <w:szCs w:val="21"/>
                <w:u w:val="none"/>
              </w:rPr>
            </w:pPr>
          </w:p>
        </w:tc>
        <w:tc>
          <w:tcPr>
            <w:tcW w:w="12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580C22">
            <w:pPr>
              <w:jc w:val="center"/>
              <w:rPr>
                <w:rFonts w:hint="eastAsia" w:ascii="宋体" w:hAnsi="宋体" w:eastAsia="宋体" w:cs="宋体"/>
                <w:i w:val="0"/>
                <w:iCs w:val="0"/>
                <w:color w:val="000000"/>
                <w:sz w:val="21"/>
                <w:szCs w:val="21"/>
                <w:u w:val="none"/>
              </w:rPr>
            </w:pPr>
          </w:p>
        </w:tc>
        <w:tc>
          <w:tcPr>
            <w:tcW w:w="3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303E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安装费用（包含卸装、电线、镀锌方管、吊笼、吊车等）</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0A52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6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F1A3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w:t>
            </w:r>
          </w:p>
        </w:tc>
        <w:tc>
          <w:tcPr>
            <w:tcW w:w="5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1D439">
            <w:pPr>
              <w:jc w:val="center"/>
              <w:rPr>
                <w:rFonts w:hint="eastAsia" w:ascii="宋体" w:hAnsi="宋体" w:eastAsia="宋体" w:cs="宋体"/>
                <w:i w:val="0"/>
                <w:iCs w:val="0"/>
                <w:color w:val="000000"/>
                <w:sz w:val="21"/>
                <w:szCs w:val="21"/>
                <w:u w:val="none"/>
              </w:rPr>
            </w:pPr>
          </w:p>
        </w:tc>
        <w:tc>
          <w:tcPr>
            <w:tcW w:w="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94A75">
            <w:pPr>
              <w:jc w:val="center"/>
              <w:rPr>
                <w:rFonts w:hint="eastAsia" w:ascii="宋体" w:hAnsi="宋体" w:eastAsia="宋体" w:cs="宋体"/>
                <w:i w:val="0"/>
                <w:iCs w:val="0"/>
                <w:color w:val="000000"/>
                <w:sz w:val="21"/>
                <w:szCs w:val="21"/>
                <w:u w:val="none"/>
              </w:rPr>
            </w:pPr>
          </w:p>
        </w:tc>
      </w:tr>
      <w:tr w14:paraId="1BA645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4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7692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47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AE67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门口传达室</w:t>
            </w:r>
          </w:p>
        </w:tc>
        <w:tc>
          <w:tcPr>
            <w:tcW w:w="126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32FFB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西门发光字</w:t>
            </w:r>
          </w:p>
        </w:tc>
        <w:tc>
          <w:tcPr>
            <w:tcW w:w="3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FE68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户外 金属精工发光字造型（光源LED蓝景灯）</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白天为标准LOGO色；夜间通体发光红色。</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DA8E4">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约0.75</w:t>
            </w:r>
          </w:p>
        </w:tc>
        <w:tc>
          <w:tcPr>
            <w:tcW w:w="6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1F54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5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1530E">
            <w:pPr>
              <w:jc w:val="center"/>
              <w:rPr>
                <w:rFonts w:hint="eastAsia" w:ascii="宋体" w:hAnsi="宋体" w:eastAsia="宋体" w:cs="宋体"/>
                <w:i w:val="0"/>
                <w:iCs w:val="0"/>
                <w:color w:val="000000"/>
                <w:sz w:val="21"/>
                <w:szCs w:val="21"/>
                <w:u w:val="none"/>
              </w:rPr>
            </w:pPr>
          </w:p>
        </w:tc>
        <w:tc>
          <w:tcPr>
            <w:tcW w:w="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02A30">
            <w:pPr>
              <w:jc w:val="center"/>
              <w:rPr>
                <w:rFonts w:hint="eastAsia" w:ascii="宋体" w:hAnsi="宋体" w:eastAsia="宋体" w:cs="宋体"/>
                <w:i w:val="0"/>
                <w:iCs w:val="0"/>
                <w:color w:val="000000"/>
                <w:sz w:val="21"/>
                <w:szCs w:val="21"/>
                <w:u w:val="none"/>
              </w:rPr>
            </w:pPr>
          </w:p>
        </w:tc>
      </w:tr>
      <w:tr w14:paraId="4A3BD9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4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5840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47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95551">
            <w:pPr>
              <w:jc w:val="center"/>
              <w:rPr>
                <w:rFonts w:hint="eastAsia" w:ascii="宋体" w:hAnsi="宋体" w:eastAsia="宋体" w:cs="宋体"/>
                <w:i w:val="0"/>
                <w:iCs w:val="0"/>
                <w:color w:val="000000"/>
                <w:sz w:val="21"/>
                <w:szCs w:val="21"/>
                <w:u w:val="none"/>
              </w:rPr>
            </w:pPr>
          </w:p>
        </w:tc>
        <w:tc>
          <w:tcPr>
            <w:tcW w:w="12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108A67">
            <w:pPr>
              <w:jc w:val="center"/>
              <w:rPr>
                <w:rFonts w:hint="eastAsia" w:ascii="宋体" w:hAnsi="宋体" w:eastAsia="宋体" w:cs="宋体"/>
                <w:i w:val="0"/>
                <w:iCs w:val="0"/>
                <w:color w:val="000000"/>
                <w:sz w:val="21"/>
                <w:szCs w:val="21"/>
                <w:u w:val="none"/>
              </w:rPr>
            </w:pPr>
          </w:p>
        </w:tc>
        <w:tc>
          <w:tcPr>
            <w:tcW w:w="3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2F09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安装费用（包含卸装、开孔走电、方管及固定架）</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038D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6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263A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w:t>
            </w:r>
          </w:p>
        </w:tc>
        <w:tc>
          <w:tcPr>
            <w:tcW w:w="5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68376">
            <w:pPr>
              <w:jc w:val="center"/>
              <w:rPr>
                <w:rFonts w:hint="eastAsia" w:ascii="宋体" w:hAnsi="宋体" w:eastAsia="宋体" w:cs="宋体"/>
                <w:i w:val="0"/>
                <w:iCs w:val="0"/>
                <w:color w:val="000000"/>
                <w:sz w:val="21"/>
                <w:szCs w:val="21"/>
                <w:u w:val="none"/>
              </w:rPr>
            </w:pPr>
          </w:p>
        </w:tc>
        <w:tc>
          <w:tcPr>
            <w:tcW w:w="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EDC25">
            <w:pPr>
              <w:jc w:val="center"/>
              <w:rPr>
                <w:rFonts w:hint="eastAsia" w:ascii="宋体" w:hAnsi="宋体" w:eastAsia="宋体" w:cs="宋体"/>
                <w:i w:val="0"/>
                <w:iCs w:val="0"/>
                <w:color w:val="000000"/>
                <w:sz w:val="21"/>
                <w:szCs w:val="21"/>
                <w:u w:val="none"/>
              </w:rPr>
            </w:pPr>
          </w:p>
        </w:tc>
      </w:tr>
      <w:tr w14:paraId="08CC15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4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955D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47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E117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其他</w:t>
            </w:r>
          </w:p>
        </w:tc>
        <w:tc>
          <w:tcPr>
            <w:tcW w:w="1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CA21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走电布线</w:t>
            </w:r>
          </w:p>
        </w:tc>
        <w:tc>
          <w:tcPr>
            <w:tcW w:w="3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2881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按照50米电线+配电箱预算</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4044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6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36A5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w:t>
            </w:r>
          </w:p>
        </w:tc>
        <w:tc>
          <w:tcPr>
            <w:tcW w:w="5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23E6E">
            <w:pPr>
              <w:jc w:val="center"/>
              <w:rPr>
                <w:rFonts w:hint="eastAsia" w:ascii="宋体" w:hAnsi="宋体" w:eastAsia="宋体" w:cs="宋体"/>
                <w:i w:val="0"/>
                <w:iCs w:val="0"/>
                <w:color w:val="000000"/>
                <w:sz w:val="21"/>
                <w:szCs w:val="21"/>
                <w:u w:val="none"/>
              </w:rPr>
            </w:pPr>
          </w:p>
        </w:tc>
        <w:tc>
          <w:tcPr>
            <w:tcW w:w="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AD215">
            <w:pPr>
              <w:jc w:val="center"/>
              <w:rPr>
                <w:rFonts w:hint="eastAsia" w:ascii="宋体" w:hAnsi="宋体" w:eastAsia="宋体" w:cs="宋体"/>
                <w:i w:val="0"/>
                <w:iCs w:val="0"/>
                <w:color w:val="000000"/>
                <w:sz w:val="21"/>
                <w:szCs w:val="21"/>
                <w:u w:val="none"/>
              </w:rPr>
            </w:pPr>
          </w:p>
        </w:tc>
      </w:tr>
      <w:tr w14:paraId="401297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4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6DFE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47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ACA52">
            <w:pPr>
              <w:jc w:val="center"/>
              <w:rPr>
                <w:rFonts w:hint="eastAsia" w:ascii="宋体" w:hAnsi="宋体" w:eastAsia="宋体" w:cs="宋体"/>
                <w:i w:val="0"/>
                <w:iCs w:val="0"/>
                <w:color w:val="000000"/>
                <w:sz w:val="21"/>
                <w:szCs w:val="21"/>
                <w:u w:val="none"/>
              </w:rPr>
            </w:pPr>
          </w:p>
        </w:tc>
        <w:tc>
          <w:tcPr>
            <w:tcW w:w="12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F4D4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施工管理费</w:t>
            </w:r>
          </w:p>
        </w:tc>
        <w:tc>
          <w:tcPr>
            <w:tcW w:w="39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C1DB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现场管理设施费用</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A7AE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6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26B6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w:t>
            </w:r>
          </w:p>
        </w:tc>
        <w:tc>
          <w:tcPr>
            <w:tcW w:w="5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9904E">
            <w:pPr>
              <w:jc w:val="center"/>
              <w:rPr>
                <w:rFonts w:hint="eastAsia" w:ascii="宋体" w:hAnsi="宋体" w:eastAsia="宋体" w:cs="宋体"/>
                <w:i w:val="0"/>
                <w:iCs w:val="0"/>
                <w:color w:val="000000"/>
                <w:sz w:val="21"/>
                <w:szCs w:val="21"/>
                <w:u w:val="none"/>
              </w:rPr>
            </w:pPr>
          </w:p>
        </w:tc>
        <w:tc>
          <w:tcPr>
            <w:tcW w:w="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F1779">
            <w:pPr>
              <w:jc w:val="center"/>
              <w:rPr>
                <w:rFonts w:hint="eastAsia" w:ascii="宋体" w:hAnsi="宋体" w:eastAsia="宋体" w:cs="宋体"/>
                <w:i w:val="0"/>
                <w:iCs w:val="0"/>
                <w:color w:val="000000"/>
                <w:sz w:val="21"/>
                <w:szCs w:val="21"/>
                <w:u w:val="none"/>
              </w:rPr>
            </w:pPr>
          </w:p>
        </w:tc>
      </w:tr>
      <w:tr w14:paraId="6A00E7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9075"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7E5C58BC">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合计</w:t>
            </w:r>
          </w:p>
        </w:tc>
        <w:tc>
          <w:tcPr>
            <w:tcW w:w="6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877CE">
            <w:pPr>
              <w:jc w:val="center"/>
              <w:rPr>
                <w:rFonts w:hint="eastAsia" w:ascii="宋体" w:hAnsi="宋体" w:eastAsia="宋体" w:cs="宋体"/>
                <w:b/>
                <w:bCs/>
                <w:i w:val="0"/>
                <w:iCs w:val="0"/>
                <w:color w:val="000000"/>
                <w:sz w:val="21"/>
                <w:szCs w:val="21"/>
                <w:u w:val="none"/>
              </w:rPr>
            </w:pPr>
          </w:p>
        </w:tc>
      </w:tr>
      <w:tr w14:paraId="6CA550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9075"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EE4C8CD">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税费</w:t>
            </w:r>
          </w:p>
        </w:tc>
        <w:tc>
          <w:tcPr>
            <w:tcW w:w="6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28D2D">
            <w:pPr>
              <w:jc w:val="center"/>
              <w:rPr>
                <w:rFonts w:hint="eastAsia" w:ascii="宋体" w:hAnsi="宋体" w:eastAsia="宋体" w:cs="宋体"/>
                <w:b/>
                <w:bCs/>
                <w:i w:val="0"/>
                <w:iCs w:val="0"/>
                <w:color w:val="000000"/>
                <w:sz w:val="21"/>
                <w:szCs w:val="21"/>
                <w:u w:val="none"/>
              </w:rPr>
            </w:pPr>
          </w:p>
        </w:tc>
      </w:tr>
      <w:tr w14:paraId="1E88D0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9075"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75766752">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总计</w:t>
            </w:r>
          </w:p>
        </w:tc>
        <w:tc>
          <w:tcPr>
            <w:tcW w:w="6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9B560">
            <w:pPr>
              <w:jc w:val="center"/>
              <w:rPr>
                <w:rFonts w:hint="eastAsia" w:ascii="宋体" w:hAnsi="宋体" w:eastAsia="宋体" w:cs="宋体"/>
                <w:b/>
                <w:bCs/>
                <w:i w:val="0"/>
                <w:iCs w:val="0"/>
                <w:color w:val="000000"/>
                <w:sz w:val="21"/>
                <w:szCs w:val="21"/>
                <w:u w:val="none"/>
              </w:rPr>
            </w:pPr>
          </w:p>
        </w:tc>
      </w:tr>
    </w:tbl>
    <w:p w14:paraId="55734A84">
      <w:pPr>
        <w:jc w:val="left"/>
        <w:rPr>
          <w:rFonts w:hint="eastAsia" w:ascii="仿宋_GB2312" w:cs="仿宋_GB2312"/>
          <w:bCs/>
          <w:sz w:val="32"/>
          <w:szCs w:val="32"/>
          <w:lang w:bidi="ar"/>
        </w:rPr>
      </w:pPr>
    </w:p>
    <w:p w14:paraId="1F7F3F4D">
      <w:pPr>
        <w:rPr>
          <w:rFonts w:hint="default" w:ascii="仿宋_GB2312" w:cs="仿宋_GB2312"/>
          <w:bCs/>
          <w:sz w:val="32"/>
          <w:szCs w:val="32"/>
          <w:lang w:val="en-US" w:eastAsia="zh-CN" w:bidi="ar"/>
        </w:rPr>
      </w:pPr>
      <w:r>
        <w:rPr>
          <w:rFonts w:hint="default" w:ascii="仿宋_GB2312" w:cs="仿宋_GB2312"/>
          <w:bCs/>
          <w:sz w:val="32"/>
          <w:szCs w:val="32"/>
          <w:lang w:val="en-US" w:eastAsia="zh-CN" w:bidi="ar"/>
        </w:rPr>
        <w:br w:type="page"/>
      </w:r>
    </w:p>
    <w:p w14:paraId="2D951448">
      <w:pPr>
        <w:jc w:val="both"/>
        <w:rPr>
          <w:rFonts w:hint="default" w:ascii="仿宋_GB2312" w:cs="仿宋_GB2312"/>
          <w:bCs/>
          <w:sz w:val="24"/>
          <w:szCs w:val="24"/>
          <w:lang w:val="en-US" w:eastAsia="zh-CN" w:bidi="ar"/>
        </w:rPr>
      </w:pPr>
      <w:r>
        <w:rPr>
          <w:rFonts w:hint="eastAsia" w:ascii="仿宋_GB2312" w:cs="仿宋_GB2312"/>
          <w:bCs/>
          <w:sz w:val="32"/>
          <w:szCs w:val="32"/>
          <w:lang w:val="en-US" w:eastAsia="zh-CN" w:bidi="ar"/>
        </w:rPr>
        <w:t>附件2： 技术要求</w:t>
      </w:r>
    </w:p>
    <w:p w14:paraId="7D84FEA2">
      <w:pPr>
        <w:numPr>
          <w:ilvl w:val="0"/>
          <w:numId w:val="1"/>
        </w:numPr>
        <w:jc w:val="both"/>
        <w:rPr>
          <w:rFonts w:hint="default" w:ascii="仿宋_GB2312" w:cs="仿宋_GB2312"/>
          <w:bCs/>
          <w:sz w:val="32"/>
          <w:szCs w:val="32"/>
          <w:lang w:val="en-US" w:eastAsia="zh-CN" w:bidi="ar"/>
        </w:rPr>
      </w:pPr>
      <w:r>
        <w:rPr>
          <w:rFonts w:hint="default" w:ascii="仿宋_GB2312" w:cs="仿宋_GB2312"/>
          <w:bCs/>
          <w:sz w:val="32"/>
          <w:szCs w:val="32"/>
          <w:lang w:val="en-US" w:eastAsia="zh-CN" w:bidi="ar"/>
        </w:rPr>
        <w:t>发光字</w:t>
      </w:r>
      <w:r>
        <w:rPr>
          <w:rFonts w:hint="eastAsia" w:ascii="仿宋_GB2312" w:cs="仿宋_GB2312"/>
          <w:bCs/>
          <w:sz w:val="32"/>
          <w:szCs w:val="32"/>
          <w:lang w:val="en-US" w:eastAsia="zh-CN" w:bidi="ar"/>
        </w:rPr>
        <w:t>材质要求</w:t>
      </w:r>
      <w:r>
        <w:rPr>
          <w:rFonts w:hint="default" w:ascii="仿宋_GB2312" w:cs="仿宋_GB2312"/>
          <w:bCs/>
          <w:sz w:val="32"/>
          <w:szCs w:val="32"/>
          <w:lang w:val="en-US" w:eastAsia="zh-CN" w:bidi="ar"/>
        </w:rPr>
        <w:t>：</w:t>
      </w:r>
      <w:r>
        <w:rPr>
          <w:rFonts w:hint="eastAsia" w:ascii="仿宋_GB2312" w:cs="仿宋_GB2312"/>
          <w:bCs/>
          <w:sz w:val="32"/>
          <w:szCs w:val="32"/>
          <w:lang w:val="en-US" w:eastAsia="zh-CN" w:bidi="ar"/>
        </w:rPr>
        <w:t>1mm厚不锈钢包边烤漆亚克力发光字</w:t>
      </w:r>
      <w:r>
        <w:rPr>
          <w:rFonts w:hint="default" w:ascii="仿宋_GB2312" w:cs="仿宋_GB2312"/>
          <w:bCs/>
          <w:sz w:val="32"/>
          <w:szCs w:val="32"/>
          <w:lang w:val="en-US" w:eastAsia="zh-CN" w:bidi="ar"/>
        </w:rPr>
        <w:t>，字体侧厚</w:t>
      </w:r>
      <w:r>
        <w:rPr>
          <w:rFonts w:hint="eastAsia" w:ascii="仿宋_GB2312" w:cs="仿宋_GB2312"/>
          <w:bCs/>
          <w:sz w:val="32"/>
          <w:szCs w:val="32"/>
          <w:lang w:val="en-US" w:eastAsia="zh-CN" w:bidi="ar"/>
        </w:rPr>
        <w:t>80</w:t>
      </w:r>
      <w:r>
        <w:rPr>
          <w:rFonts w:hint="default" w:ascii="仿宋_GB2312" w:cs="仿宋_GB2312"/>
          <w:bCs/>
          <w:sz w:val="32"/>
          <w:szCs w:val="32"/>
          <w:lang w:val="en-US" w:eastAsia="zh-CN" w:bidi="ar"/>
        </w:rPr>
        <w:t>mm</w:t>
      </w:r>
      <w:r>
        <w:rPr>
          <w:rFonts w:hint="eastAsia" w:ascii="仿宋_GB2312" w:cs="仿宋_GB2312"/>
          <w:bCs/>
          <w:sz w:val="32"/>
          <w:szCs w:val="32"/>
          <w:lang w:val="en-US" w:eastAsia="zh-CN" w:bidi="ar"/>
        </w:rPr>
        <w:t>。</w:t>
      </w:r>
    </w:p>
    <w:p w14:paraId="07C05E7E">
      <w:pPr>
        <w:numPr>
          <w:ilvl w:val="0"/>
          <w:numId w:val="1"/>
        </w:numPr>
        <w:jc w:val="both"/>
        <w:rPr>
          <w:rFonts w:hint="default" w:ascii="仿宋_GB2312" w:cs="仿宋_GB2312"/>
          <w:bCs/>
          <w:sz w:val="32"/>
          <w:szCs w:val="32"/>
          <w:lang w:val="en-US" w:eastAsia="zh-CN" w:bidi="ar"/>
        </w:rPr>
      </w:pPr>
      <w:r>
        <w:rPr>
          <w:rFonts w:hint="eastAsia" w:ascii="仿宋_GB2312" w:cs="仿宋_GB2312"/>
          <w:bCs/>
          <w:sz w:val="32"/>
          <w:szCs w:val="32"/>
          <w:lang w:val="en-US" w:eastAsia="zh-CN" w:bidi="ar"/>
        </w:rPr>
        <w:t>功能要求：发光字具备定时开关功能，时间可自定义调节。</w:t>
      </w:r>
    </w:p>
    <w:p w14:paraId="04AC9236">
      <w:pPr>
        <w:numPr>
          <w:ilvl w:val="0"/>
          <w:numId w:val="1"/>
        </w:numPr>
        <w:jc w:val="both"/>
        <w:rPr>
          <w:rFonts w:hint="default" w:ascii="仿宋_GB2312" w:cs="仿宋_GB2312"/>
          <w:bCs/>
          <w:sz w:val="32"/>
          <w:szCs w:val="32"/>
          <w:lang w:val="en-US" w:eastAsia="zh-CN" w:bidi="ar"/>
        </w:rPr>
      </w:pPr>
      <w:r>
        <w:rPr>
          <w:rFonts w:hint="default" w:ascii="仿宋_GB2312" w:cs="仿宋_GB2312"/>
          <w:bCs/>
          <w:sz w:val="32"/>
          <w:szCs w:val="32"/>
          <w:lang w:val="en-US" w:eastAsia="zh-CN" w:bidi="ar"/>
        </w:rPr>
        <w:t>钢结构部分：背衬2.5</w:t>
      </w:r>
      <w:r>
        <w:rPr>
          <w:rFonts w:hint="eastAsia" w:ascii="仿宋_GB2312" w:cs="仿宋_GB2312"/>
          <w:bCs/>
          <w:sz w:val="32"/>
          <w:szCs w:val="32"/>
          <w:lang w:val="en-US" w:eastAsia="zh-CN" w:bidi="ar"/>
        </w:rPr>
        <w:t>/4</w:t>
      </w:r>
      <w:r>
        <w:rPr>
          <w:rFonts w:hint="default" w:ascii="仿宋_GB2312" w:cs="仿宋_GB2312"/>
          <w:bCs/>
          <w:sz w:val="32"/>
          <w:szCs w:val="32"/>
          <w:lang w:val="en-US" w:eastAsia="zh-CN" w:bidi="ar"/>
        </w:rPr>
        <w:t>公分镀锌方管，喷涂与</w:t>
      </w:r>
      <w:r>
        <w:rPr>
          <w:rFonts w:hint="eastAsia" w:ascii="仿宋_GB2312" w:cs="仿宋_GB2312"/>
          <w:bCs/>
          <w:sz w:val="32"/>
          <w:szCs w:val="32"/>
          <w:lang w:val="en-US" w:eastAsia="zh-CN" w:bidi="ar"/>
        </w:rPr>
        <w:t>背景墙面</w:t>
      </w:r>
      <w:r>
        <w:rPr>
          <w:rFonts w:hint="default" w:ascii="仿宋_GB2312" w:cs="仿宋_GB2312"/>
          <w:bCs/>
          <w:sz w:val="32"/>
          <w:szCs w:val="32"/>
          <w:lang w:val="en-US" w:eastAsia="zh-CN" w:bidi="ar"/>
        </w:rPr>
        <w:t>同色防锈漆</w:t>
      </w:r>
      <w:r>
        <w:rPr>
          <w:rFonts w:hint="eastAsia" w:ascii="仿宋_GB2312" w:cs="仿宋_GB2312"/>
          <w:bCs/>
          <w:sz w:val="32"/>
          <w:szCs w:val="32"/>
          <w:lang w:val="en-US" w:eastAsia="zh-CN" w:bidi="ar"/>
        </w:rPr>
        <w:t>。</w:t>
      </w:r>
    </w:p>
    <w:p w14:paraId="376B14B8">
      <w:pPr>
        <w:numPr>
          <w:ilvl w:val="0"/>
          <w:numId w:val="1"/>
        </w:numPr>
        <w:jc w:val="both"/>
        <w:rPr>
          <w:rFonts w:hint="default" w:ascii="仿宋_GB2312" w:cs="仿宋_GB2312"/>
          <w:bCs/>
          <w:sz w:val="32"/>
          <w:szCs w:val="32"/>
          <w:lang w:val="en-US" w:eastAsia="zh-CN" w:bidi="ar"/>
        </w:rPr>
      </w:pPr>
      <w:r>
        <w:rPr>
          <w:rFonts w:hint="eastAsia" w:ascii="仿宋_GB2312" w:cs="仿宋_GB2312"/>
          <w:bCs/>
          <w:sz w:val="32"/>
          <w:szCs w:val="32"/>
          <w:lang w:val="en-US" w:eastAsia="zh-CN" w:bidi="ar"/>
        </w:rPr>
        <w:t>尺寸信息：</w:t>
      </w:r>
    </w:p>
    <w:p w14:paraId="12373F8B">
      <w:pPr>
        <w:numPr>
          <w:ilvl w:val="1"/>
          <w:numId w:val="2"/>
        </w:numPr>
        <w:ind w:left="840" w:leftChars="0" w:hanging="420" w:firstLineChars="0"/>
        <w:jc w:val="both"/>
        <w:rPr>
          <w:rFonts w:hint="default" w:ascii="仿宋_GB2312" w:cs="仿宋_GB2312"/>
          <w:bCs/>
          <w:sz w:val="32"/>
          <w:szCs w:val="32"/>
          <w:highlight w:val="none"/>
          <w:lang w:val="en-US" w:eastAsia="zh-CN" w:bidi="ar"/>
        </w:rPr>
      </w:pPr>
      <w:r>
        <w:rPr>
          <w:rFonts w:hint="eastAsia" w:ascii="仿宋_GB2312" w:cs="仿宋_GB2312"/>
          <w:bCs/>
          <w:sz w:val="32"/>
          <w:szCs w:val="32"/>
          <w:highlight w:val="none"/>
          <w:lang w:val="en-US" w:eastAsia="zh-CN" w:bidi="ar"/>
        </w:rPr>
        <w:t>楼顶发光字：八个英文字母（宽1m高0.88m）,四个汉字（宽1m高0.96m）</w:t>
      </w:r>
    </w:p>
    <w:p w14:paraId="63C8D797">
      <w:pPr>
        <w:numPr>
          <w:ilvl w:val="1"/>
          <w:numId w:val="2"/>
        </w:numPr>
        <w:ind w:left="840" w:leftChars="0" w:hanging="420" w:firstLineChars="0"/>
        <w:jc w:val="both"/>
        <w:rPr>
          <w:rFonts w:hint="default" w:ascii="仿宋_GB2312" w:cs="仿宋_GB2312"/>
          <w:bCs/>
          <w:sz w:val="32"/>
          <w:szCs w:val="32"/>
          <w:highlight w:val="none"/>
          <w:lang w:val="en-US" w:eastAsia="zh-CN" w:bidi="ar"/>
        </w:rPr>
      </w:pPr>
      <w:r>
        <w:rPr>
          <w:rFonts w:hint="eastAsia" w:ascii="仿宋_GB2312" w:cs="仿宋_GB2312"/>
          <w:bCs/>
          <w:sz w:val="32"/>
          <w:szCs w:val="32"/>
          <w:highlight w:val="none"/>
          <w:lang w:val="en-US" w:eastAsia="zh-CN" w:bidi="ar"/>
        </w:rPr>
        <w:t>西门发光字：八个英文字母（宽0.2m高0.185m），四个汉字（宽0.2m高0.2m）</w:t>
      </w:r>
    </w:p>
    <w:p w14:paraId="7C559B0D">
      <w:pPr>
        <w:numPr>
          <w:ilvl w:val="0"/>
          <w:numId w:val="1"/>
        </w:numPr>
        <w:jc w:val="both"/>
        <w:rPr>
          <w:rFonts w:hint="default" w:ascii="仿宋_GB2312" w:cs="仿宋_GB2312"/>
          <w:bCs/>
          <w:sz w:val="32"/>
          <w:szCs w:val="32"/>
          <w:highlight w:val="none"/>
          <w:lang w:val="en-US" w:eastAsia="zh-CN" w:bidi="ar"/>
        </w:rPr>
      </w:pPr>
      <w:r>
        <w:rPr>
          <w:rFonts w:hint="eastAsia" w:ascii="仿宋_GB2312" w:cs="仿宋_GB2312"/>
          <w:bCs/>
          <w:sz w:val="32"/>
          <w:szCs w:val="32"/>
          <w:highlight w:val="none"/>
          <w:lang w:val="en-US" w:eastAsia="zh-CN" w:bidi="ar"/>
        </w:rPr>
        <w:t>供货期及质保期：签订合同后7天完成供货和安装，质保2年。</w:t>
      </w:r>
    </w:p>
    <w:p w14:paraId="0BBC3A62">
      <w:pPr>
        <w:numPr>
          <w:ilvl w:val="0"/>
          <w:numId w:val="1"/>
        </w:numPr>
        <w:jc w:val="both"/>
        <w:rPr>
          <w:rFonts w:hint="default" w:ascii="仿宋_GB2312" w:cs="仿宋_GB2312"/>
          <w:bCs/>
          <w:sz w:val="32"/>
          <w:szCs w:val="32"/>
          <w:lang w:val="en-US" w:eastAsia="zh-CN" w:bidi="ar"/>
        </w:rPr>
      </w:pPr>
      <w:r>
        <w:rPr>
          <w:rFonts w:hint="eastAsia" w:ascii="仿宋_GB2312" w:cs="仿宋_GB2312"/>
          <w:bCs/>
          <w:sz w:val="32"/>
          <w:szCs w:val="32"/>
          <w:lang w:val="en-US" w:eastAsia="zh-CN" w:bidi="ar"/>
        </w:rPr>
        <w:t>安装效果如下：</w:t>
      </w:r>
    </w:p>
    <w:p w14:paraId="5386A564">
      <w:pPr>
        <w:ind w:firstLine="645"/>
        <w:jc w:val="right"/>
        <w:rPr>
          <w:rFonts w:hint="eastAsia" w:ascii="仿宋_GB2312" w:cs="仿宋_GB2312"/>
          <w:bCs/>
          <w:sz w:val="32"/>
          <w:szCs w:val="32"/>
          <w:lang w:val="en-US" w:eastAsia="zh-CN" w:bidi="ar"/>
        </w:rPr>
      </w:pPr>
      <w:r>
        <w:drawing>
          <wp:anchor distT="0" distB="0" distL="114300" distR="114300" simplePos="0" relativeHeight="251661312" behindDoc="0" locked="0" layoutInCell="1" allowOverlap="1">
            <wp:simplePos x="0" y="0"/>
            <wp:positionH relativeFrom="column">
              <wp:posOffset>1299210</wp:posOffset>
            </wp:positionH>
            <wp:positionV relativeFrom="paragraph">
              <wp:posOffset>1976120</wp:posOffset>
            </wp:positionV>
            <wp:extent cx="3295650" cy="1844675"/>
            <wp:effectExtent l="0" t="0" r="0" b="3175"/>
            <wp:wrapTopAndBottom/>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7"/>
                    <a:stretch>
                      <a:fillRect/>
                    </a:stretch>
                  </pic:blipFill>
                  <pic:spPr>
                    <a:xfrm>
                      <a:off x="0" y="0"/>
                      <a:ext cx="3295650" cy="1844675"/>
                    </a:xfrm>
                    <a:prstGeom prst="rect">
                      <a:avLst/>
                    </a:prstGeom>
                  </pic:spPr>
                </pic:pic>
              </a:graphicData>
            </a:graphic>
          </wp:anchor>
        </w:drawing>
      </w:r>
      <w:r>
        <w:drawing>
          <wp:anchor distT="0" distB="0" distL="114300" distR="114300" simplePos="0" relativeHeight="251662336" behindDoc="0" locked="0" layoutInCell="1" allowOverlap="1">
            <wp:simplePos x="0" y="0"/>
            <wp:positionH relativeFrom="column">
              <wp:posOffset>1310005</wp:posOffset>
            </wp:positionH>
            <wp:positionV relativeFrom="paragraph">
              <wp:posOffset>60960</wp:posOffset>
            </wp:positionV>
            <wp:extent cx="3319145" cy="1837690"/>
            <wp:effectExtent l="0" t="0" r="5080" b="635"/>
            <wp:wrapNone/>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rcRect t="6255" b="4506"/>
                    <a:stretch>
                      <a:fillRect/>
                    </a:stretch>
                  </pic:blipFill>
                  <pic:spPr>
                    <a:xfrm>
                      <a:off x="0" y="0"/>
                      <a:ext cx="3319145" cy="1837690"/>
                    </a:xfrm>
                    <a:prstGeom prst="rect">
                      <a:avLst/>
                    </a:prstGeom>
                  </pic:spPr>
                </pic:pic>
              </a:graphicData>
            </a:graphic>
          </wp:anchor>
        </w:drawing>
      </w:r>
    </w:p>
    <w:sectPr>
      <w:headerReference r:id="rId3" w:type="default"/>
      <w:footerReference r:id="rId4" w:type="default"/>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48B557BF-E061-4A24-807F-BEB0209B7B2C}"/>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embedRegular r:id="rId2" w:fontKey="{0DDB8BEF-2DAC-4B80-9D6F-CA07FF30C555}"/>
  </w:font>
  <w:font w:name="仿宋">
    <w:panose1 w:val="02010609060101010101"/>
    <w:charset w:val="86"/>
    <w:family w:val="auto"/>
    <w:pitch w:val="default"/>
    <w:sig w:usb0="800002BF" w:usb1="38CF7CFA" w:usb2="00000016" w:usb3="00000000" w:csb0="00040001" w:csb1="00000000"/>
  </w:font>
  <w:font w:name="方正楷体_GB2312">
    <w:panose1 w:val="02000000000000000000"/>
    <w:charset w:val="86"/>
    <w:family w:val="auto"/>
    <w:pitch w:val="default"/>
    <w:sig w:usb0="A00002BF" w:usb1="184F6CFA" w:usb2="00000012" w:usb3="00000000" w:csb0="00040001"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embedRegular r:id="rId3" w:fontKey="{9647E930-3773-40A7-BAC5-A9888E95F04B}"/>
  </w:font>
  <w:font w:name="方正小标宋简体">
    <w:panose1 w:val="02000000000000000000"/>
    <w:charset w:val="86"/>
    <w:family w:val="script"/>
    <w:pitch w:val="default"/>
    <w:sig w:usb0="00000001" w:usb1="08000000" w:usb2="00000000" w:usb3="00000000" w:csb0="00040000" w:csb1="00000000"/>
    <w:embedRegular r:id="rId4" w:fontKey="{4E2B423F-CF8A-4D4E-AEBF-4AC0D24CBB1F}"/>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D6475F">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FF4EC8">
    <w:pPr>
      <w:pStyle w:val="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40B7AF7"/>
    <w:multiLevelType w:val="multilevel"/>
    <w:tmpl w:val="540B7AF7"/>
    <w:lvl w:ilvl="0" w:tentative="0">
      <w:start w:val="1"/>
      <w:numFmt w:val="decimal"/>
      <w:suff w:val="nothing"/>
      <w:lvlText w:val="%1）"/>
      <w:lvlJc w:val="left"/>
    </w:lvl>
    <w:lvl w:ilvl="1" w:tentative="0">
      <w:start w:val="1"/>
      <w:numFmt w:val="lowerLetter"/>
      <w:lvlText w:val="%2."/>
      <w:lvlJc w:val="left"/>
      <w:pPr>
        <w:tabs>
          <w:tab w:val="left" w:pos="840"/>
        </w:tabs>
        <w:ind w:left="840" w:leftChars="0" w:hanging="420" w:firstLineChars="0"/>
      </w:pPr>
      <w:rPr>
        <w:rFonts w:hint="default"/>
      </w:rPr>
    </w:lvl>
    <w:lvl w:ilvl="2" w:tentative="0">
      <w:start w:val="1"/>
      <w:numFmt w:val="lowerLetter"/>
      <w:lvlText w:val="%3)"/>
      <w:lvlJc w:val="left"/>
      <w:pPr>
        <w:tabs>
          <w:tab w:val="left" w:pos="1260"/>
        </w:tabs>
        <w:ind w:left="1260" w:leftChars="0" w:hanging="420" w:firstLineChars="0"/>
      </w:pPr>
      <w:rPr>
        <w:rFonts w:hint="default"/>
      </w:rPr>
    </w:lvl>
    <w:lvl w:ilvl="3" w:tentative="0">
      <w:start w:val="1"/>
      <w:numFmt w:val="lowerRoman"/>
      <w:lvlText w:val="%4."/>
      <w:lvlJc w:val="left"/>
      <w:pPr>
        <w:tabs>
          <w:tab w:val="left" w:pos="1680"/>
        </w:tabs>
        <w:ind w:left="1680" w:leftChars="0" w:hanging="420" w:firstLineChars="0"/>
      </w:pPr>
      <w:rPr>
        <w:rFonts w:hint="default"/>
      </w:rPr>
    </w:lvl>
    <w:lvl w:ilvl="4" w:tentative="0">
      <w:start w:val="1"/>
      <w:numFmt w:val="lowerRoman"/>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Letter"/>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Roman"/>
      <w:lvlText w:val="%9)"/>
      <w:lvlJc w:val="left"/>
      <w:pPr>
        <w:tabs>
          <w:tab w:val="left" w:pos="3780"/>
        </w:tabs>
        <w:ind w:left="3780" w:leftChars="0" w:hanging="420" w:firstLineChars="0"/>
      </w:pPr>
      <w:rPr>
        <w:rFonts w:hint="default"/>
      </w:rPr>
    </w:lvl>
  </w:abstractNum>
  <w:abstractNum w:abstractNumId="1">
    <w:nsid w:val="6BBD9316"/>
    <w:multiLevelType w:val="singleLevel"/>
    <w:tmpl w:val="6BBD9316"/>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ZiZjhjZjUxYjg2N2Y1ZjY0NTc5ZGMxYTcwNjRmNWYifQ=="/>
  </w:docVars>
  <w:rsids>
    <w:rsidRoot w:val="00B913F6"/>
    <w:rsid w:val="001440BC"/>
    <w:rsid w:val="001B587A"/>
    <w:rsid w:val="001F54EC"/>
    <w:rsid w:val="003343A1"/>
    <w:rsid w:val="00426212"/>
    <w:rsid w:val="004B4B0D"/>
    <w:rsid w:val="00733386"/>
    <w:rsid w:val="00766785"/>
    <w:rsid w:val="007D0DBA"/>
    <w:rsid w:val="008434C5"/>
    <w:rsid w:val="008A6689"/>
    <w:rsid w:val="008B2E8C"/>
    <w:rsid w:val="008D56E2"/>
    <w:rsid w:val="008E572D"/>
    <w:rsid w:val="0096410A"/>
    <w:rsid w:val="009B5C96"/>
    <w:rsid w:val="00A5265D"/>
    <w:rsid w:val="00A631FA"/>
    <w:rsid w:val="00B913F6"/>
    <w:rsid w:val="00C81B4A"/>
    <w:rsid w:val="00D02A10"/>
    <w:rsid w:val="00DF0FF7"/>
    <w:rsid w:val="00E666FA"/>
    <w:rsid w:val="00E90175"/>
    <w:rsid w:val="00FD1542"/>
    <w:rsid w:val="00FF49DF"/>
    <w:rsid w:val="044031CE"/>
    <w:rsid w:val="047563BF"/>
    <w:rsid w:val="05BF4603"/>
    <w:rsid w:val="06AA3194"/>
    <w:rsid w:val="08467A2D"/>
    <w:rsid w:val="09E76B80"/>
    <w:rsid w:val="09ED4C49"/>
    <w:rsid w:val="0BCA1264"/>
    <w:rsid w:val="0C6B51DA"/>
    <w:rsid w:val="0EE71E6E"/>
    <w:rsid w:val="0EF10D38"/>
    <w:rsid w:val="136E5CB6"/>
    <w:rsid w:val="170D3424"/>
    <w:rsid w:val="199D21E8"/>
    <w:rsid w:val="19A32D47"/>
    <w:rsid w:val="1A36165C"/>
    <w:rsid w:val="1B036995"/>
    <w:rsid w:val="1B467720"/>
    <w:rsid w:val="1BED2887"/>
    <w:rsid w:val="1DABA212"/>
    <w:rsid w:val="20BB2F53"/>
    <w:rsid w:val="22AF339E"/>
    <w:rsid w:val="22B115FD"/>
    <w:rsid w:val="23737F17"/>
    <w:rsid w:val="239C7BFA"/>
    <w:rsid w:val="24A0645A"/>
    <w:rsid w:val="24C53A3F"/>
    <w:rsid w:val="25667C88"/>
    <w:rsid w:val="290103BA"/>
    <w:rsid w:val="290E0BBE"/>
    <w:rsid w:val="2BFE1DEB"/>
    <w:rsid w:val="2D127458"/>
    <w:rsid w:val="2D4026B8"/>
    <w:rsid w:val="2F766C06"/>
    <w:rsid w:val="300264A9"/>
    <w:rsid w:val="32CE3ECE"/>
    <w:rsid w:val="32DC1497"/>
    <w:rsid w:val="33D3451A"/>
    <w:rsid w:val="3449175A"/>
    <w:rsid w:val="34AA4B3E"/>
    <w:rsid w:val="35790253"/>
    <w:rsid w:val="35B56411"/>
    <w:rsid w:val="360D412F"/>
    <w:rsid w:val="366672CF"/>
    <w:rsid w:val="37C1015C"/>
    <w:rsid w:val="38E86458"/>
    <w:rsid w:val="39A836EB"/>
    <w:rsid w:val="3A064C8C"/>
    <w:rsid w:val="3BB76C13"/>
    <w:rsid w:val="3C2B34B5"/>
    <w:rsid w:val="3C940AE3"/>
    <w:rsid w:val="3DEE4329"/>
    <w:rsid w:val="3ECA43E2"/>
    <w:rsid w:val="3F0F424E"/>
    <w:rsid w:val="3F89A938"/>
    <w:rsid w:val="41091CFF"/>
    <w:rsid w:val="416B1220"/>
    <w:rsid w:val="446368EF"/>
    <w:rsid w:val="45E5793D"/>
    <w:rsid w:val="494E79E3"/>
    <w:rsid w:val="4AC24D5B"/>
    <w:rsid w:val="4ADE741D"/>
    <w:rsid w:val="4B555BCF"/>
    <w:rsid w:val="4B6814D6"/>
    <w:rsid w:val="4BEF4EA2"/>
    <w:rsid w:val="5092106D"/>
    <w:rsid w:val="527C020E"/>
    <w:rsid w:val="533B1C0A"/>
    <w:rsid w:val="543211F5"/>
    <w:rsid w:val="55466588"/>
    <w:rsid w:val="55594ED2"/>
    <w:rsid w:val="55696988"/>
    <w:rsid w:val="56ED025D"/>
    <w:rsid w:val="59531DBA"/>
    <w:rsid w:val="59BB7545"/>
    <w:rsid w:val="5B251E87"/>
    <w:rsid w:val="5BF705DC"/>
    <w:rsid w:val="5C44438B"/>
    <w:rsid w:val="5CC23297"/>
    <w:rsid w:val="5D167CD3"/>
    <w:rsid w:val="5E25299D"/>
    <w:rsid w:val="5E4D2147"/>
    <w:rsid w:val="5F19091A"/>
    <w:rsid w:val="5F9F74B2"/>
    <w:rsid w:val="61C827FF"/>
    <w:rsid w:val="61DB4BA8"/>
    <w:rsid w:val="6308470B"/>
    <w:rsid w:val="635F6550"/>
    <w:rsid w:val="641D5E89"/>
    <w:rsid w:val="66A128D5"/>
    <w:rsid w:val="679F20FD"/>
    <w:rsid w:val="68712ED6"/>
    <w:rsid w:val="6B52582F"/>
    <w:rsid w:val="6EDF42DC"/>
    <w:rsid w:val="6FBFE079"/>
    <w:rsid w:val="6FFE4E27"/>
    <w:rsid w:val="783618D3"/>
    <w:rsid w:val="79827C1B"/>
    <w:rsid w:val="79A07AE2"/>
    <w:rsid w:val="79E57808"/>
    <w:rsid w:val="7E0411B5"/>
    <w:rsid w:val="7F641377"/>
    <w:rsid w:val="FEFF7E28"/>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28"/>
      <w:szCs w:val="20"/>
      <w:lang w:val="en-US" w:eastAsia="zh-CN" w:bidi="ar-SA"/>
    </w:rPr>
  </w:style>
  <w:style w:type="paragraph" w:styleId="2">
    <w:name w:val="heading 3"/>
    <w:basedOn w:val="1"/>
    <w:next w:val="1"/>
    <w:qFormat/>
    <w:uiPriority w:val="0"/>
    <w:pPr>
      <w:keepNext/>
      <w:keepLines/>
      <w:spacing w:before="260" w:after="260" w:line="415" w:lineRule="auto"/>
      <w:outlineLvl w:val="2"/>
    </w:pPr>
    <w:rPr>
      <w:b/>
      <w:bCs/>
      <w:sz w:val="32"/>
      <w:szCs w:val="32"/>
      <w:lang w:val="zh-CN" w:eastAsia="zh-CN"/>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ody Text"/>
    <w:basedOn w:val="1"/>
    <w:qFormat/>
    <w:uiPriority w:val="0"/>
    <w:rPr>
      <w:rFonts w:eastAsia="方正楷体_GB2312"/>
    </w:rPr>
  </w:style>
  <w:style w:type="paragraph" w:styleId="5">
    <w:name w:val="Plain Text"/>
    <w:basedOn w:val="1"/>
    <w:qFormat/>
    <w:uiPriority w:val="0"/>
    <w:rPr>
      <w:rFonts w:ascii="宋体" w:hAnsi="Courier New" w:cs="Arial"/>
      <w:szCs w:val="22"/>
    </w:rPr>
  </w:style>
  <w:style w:type="paragraph" w:styleId="6">
    <w:name w:val="footer"/>
    <w:basedOn w:val="1"/>
    <w:link w:val="13"/>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7">
    <w:name w:val="header"/>
    <w:basedOn w:val="1"/>
    <w:link w:val="12"/>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8">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table" w:styleId="10">
    <w:name w:val="Table Grid"/>
    <w:basedOn w:val="9"/>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
    <w:name w:val="页眉 字符"/>
    <w:basedOn w:val="11"/>
    <w:link w:val="7"/>
    <w:qFormat/>
    <w:uiPriority w:val="99"/>
    <w:rPr>
      <w:sz w:val="18"/>
      <w:szCs w:val="18"/>
    </w:rPr>
  </w:style>
  <w:style w:type="character" w:customStyle="1" w:styleId="13">
    <w:name w:val="页脚 字符"/>
    <w:basedOn w:val="11"/>
    <w:link w:val="6"/>
    <w:qFormat/>
    <w:uiPriority w:val="99"/>
    <w:rPr>
      <w:sz w:val="18"/>
      <w:szCs w:val="18"/>
    </w:rPr>
  </w:style>
  <w:style w:type="paragraph" w:customStyle="1" w:styleId="14">
    <w:name w:val="标书三级标题"/>
    <w:basedOn w:val="2"/>
    <w:next w:val="15"/>
    <w:qFormat/>
    <w:uiPriority w:val="0"/>
    <w:pPr>
      <w:spacing w:before="0" w:after="0" w:line="240" w:lineRule="auto"/>
      <w:ind w:firstLine="200" w:firstLineChars="200"/>
    </w:pPr>
    <w:rPr>
      <w:rFonts w:ascii="等线" w:hAnsi="等线" w:eastAsia="等线" w:cs="Arial"/>
      <w:color w:val="000000"/>
      <w:sz w:val="24"/>
      <w:szCs w:val="24"/>
      <w:lang w:val="en-US" w:eastAsia="zh-CN"/>
    </w:rPr>
  </w:style>
  <w:style w:type="paragraph" w:customStyle="1" w:styleId="15">
    <w:name w:val="标书正文格式"/>
    <w:basedOn w:val="5"/>
    <w:qFormat/>
    <w:uiPriority w:val="0"/>
    <w:pPr>
      <w:spacing w:line="360" w:lineRule="auto"/>
      <w:ind w:firstLine="200" w:firstLineChars="200"/>
    </w:pPr>
    <w:rPr>
      <w:rFonts w:hAnsi="宋体" w:eastAsia="等线"/>
      <w:color w:val="000000"/>
      <w:sz w:val="24"/>
      <w:szCs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6</Pages>
  <Words>2030</Words>
  <Characters>2175</Characters>
  <Lines>2</Lines>
  <Paragraphs>1</Paragraphs>
  <TotalTime>2</TotalTime>
  <ScaleCrop>false</ScaleCrop>
  <LinksUpToDate>false</LinksUpToDate>
  <CharactersWithSpaces>2216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2021-01-29T17:37:00Z</dcterms:created>
  <dc:creator>张丛丛</dc:creator>
  <cp:lastModifiedBy>JonMMx 2000</cp:lastModifiedBy>
  <cp:lastPrinted>2026-08-21T13:48:00Z</cp:lastPrinted>
  <dcterms:modified xsi:type="dcterms:W3CDTF">2026-09-14T09:18:04Z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89184A98E60E4A44B47E449414D306C2_13</vt:lpwstr>
  </property>
  <property fmtid="{D5CDD505-2E9C-101B-9397-08002B2CF9AE}" pid="4" name="KSOTemplateDocerSaveRecord">
    <vt:lpwstr>eyJoZGlkIjoiN2ZiZjhjZjUxYjg2N2Y1ZjY0NTc5ZGMxYTcwNjRmNWYiLCJ1c2VySWQiOiIxNzY1OTg3MzI2In0=</vt:lpwstr>
  </property>
</Properties>
</file>